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جبر
</w:t>
      </w:r>
    </w:p>
    <w:p>
      <w:pPr>
        <w:jc w:val="start"/>
        <w:bidi/>
      </w:pPr>
      <w:r>
        <w:rPr>
          <w:rFonts w:ascii="arial" w:hAnsi="arial" w:eastAsia="arial" w:cs="arial"/>
          <w:sz w:val="28"/>
          <w:szCs w:val="28"/>
          <w:b w:val="1"/>
          <w:bCs w:val="1"/>
          <w:rtl/>
        </w:rPr>
        <w:t xml:space="preserve">صخر بن جبر
</w:t>
      </w:r>
    </w:p>
    <w:p>
      <w:pPr/>
      <w:r>
        <w:rPr/>
        <w:t xml:space="preserve">صخر بن جبر (س) صخر بن جبر الأنصاري.</w:t>
      </w:r>
    </w:p>
    <w:p/>
    <w:p>
      <w:pPr/>
      <w:r>
        <w:rPr/>
        <w:t xml:space="preserve">أخرجه أبو موسى، وقال: أورده الطبراني، ولم يخرج حديثه، وأورده سعيد القرشي.</w:t>
      </w:r>
    </w:p>
    <w:p/>
    <w:p>
      <w:pPr/>
      <w:r>
        <w:rPr/>
        <w:t xml:space="preserve">وروى بإسناده عن الحسن بن سالم، قال: قال صخر بن جبر: قدمنا لأربع مضين من ذي الحجة، مهلين بالحج، فأمرنا رسول الله صلى الله عليه وسلم فنقضنا حجنا، وجعلناها عمرة، وطفنا بالبيت وسعينا بين الصفا والمروة. وأحللنا مما يحل منه الحرام، وأصبنا ما يصيب الحلال من النساء والطيب، حتى إذا كان يوم التروية، وغدونا من الغد إلى عرفات، أمرنا النبي صلى الله عليه وسلم فأتممنا حجنا فقال أحدنا كيف يذهب إلى عرفات وهذا ذكر أحدنا يقطر منيا، فبلغ ذلك النبي صلى الله عليه وسلم، فكرهه، وقال: يا أيها الناس، بلغني ما تقولون، ولولا أن الهدي كان معي لكنت كرجل منكم ولكن لا أحل حتى يبلغ الهدى محله.</w:t>
      </w:r>
    </w:p>
    <w:p>
      <w:pPr>
        <w:jc w:val="start"/>
        <w:bidi/>
      </w:pPr>
      <w:r>
        <w:rPr>
          <w:sz w:val="24"/>
          <w:szCs w:val="24"/>
          <w:b w:val="1"/>
          <w:bCs w:val="1"/>
          <w:rtl/>
        </w:rPr>
        <w:t xml:space="preserve">
أسد الغابة في معرفة الصحابة،(دار ابن حزم - بيروت،2012،ط 1،ج 1،ص 560)/(دار الكتب العلمية - بيروت،1994،ط 1،ج 3،ص 8)/(دار الفكر - بيروت،1989،ط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جبر الأنصاري
</w:t>
      </w:r>
    </w:p>
    <w:p>
      <w:pPr/>
      <w:r>
        <w:rPr/>
        <w:t xml:space="preserve">صخر بن جبر الأنصاري قال أبو موسى: ذكره الطبري، ولم يخرج له شيئا.</w:t>
      </w:r>
    </w:p>
    <w:p/>
    <w:p>
      <w:pPr/>
      <w:r>
        <w:rPr/>
        <w:t xml:space="preserve">وذكره سعيد بن يعقوب من طريق موسى بن عبيدة، عن أخيه عبد الله، عن الحسن، بن سالم عن رجاله، قال: قال صخر بن جبر: قدمنا لأربع مضين من ذي الحجة مهلين بالحج، فأمرنا النبي صلى الله عليه وسلم فنقضنا حجنا وجعلناه عمرة... الحديث.</w:t>
      </w:r>
    </w:p>
    <w:p/>
    <w:p>
      <w:pPr/>
      <w:r>
        <w:rPr/>
        <w:t xml:space="preserve">وروى الطبراني من طريق جبر بن صخر عن أبيه أنه كان حارس النبي صلى الله عليه وسلم.... فذكر حديثا، فيحتمل أن يكون هو هذا. وافق اسم أبيه كنيته.</w:t>
      </w:r>
    </w:p>
    <w:p>
      <w:pPr>
        <w:jc w:val="start"/>
        <w:bidi/>
      </w:pPr>
      <w:r>
        <w:rPr>
          <w:sz w:val="24"/>
          <w:szCs w:val="24"/>
          <w:b w:val="1"/>
          <w:bCs w:val="1"/>
          <w:rtl/>
        </w:rPr>
        <w:t xml:space="preserve">
الإصابة في تمييز الصحابة،(دار الكتب العلمية - بيروت،1995،ط 1،ج 3،ص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2026-05-28T20:51:24+03:00</dcterms:created>
  <dcterms:modified xsi:type="dcterms:W3CDTF">2026-05-28T20:51:24+03:00</dcterms:modified>
</cp:coreProperties>
</file>

<file path=docProps/custom.xml><?xml version="1.0" encoding="utf-8"?>
<Properties xmlns="http://schemas.openxmlformats.org/officeDocument/2006/custom-properties" xmlns:vt="http://schemas.openxmlformats.org/officeDocument/2006/docPropsVTypes"/>
</file>