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ربعي
</w:t>
      </w:r>
    </w:p>
    <w:p>
      <w:pPr>
        <w:jc w:val="start"/>
        <w:bidi/>
      </w:pPr>
      <w:r>
        <w:rPr>
          <w:rFonts w:ascii="arial" w:hAnsi="arial" w:eastAsia="arial" w:cs="arial"/>
          <w:sz w:val="28"/>
          <w:szCs w:val="28"/>
          <w:b w:val="1"/>
          <w:bCs w:val="1"/>
          <w:rtl/>
        </w:rPr>
        <w:t xml:space="preserve">خالد بن ربعي
</w:t>
      </w:r>
    </w:p>
    <w:p>
      <w:pPr/>
      <w:r>
        <w:rPr/>
        <w:t xml:space="preserve">خالد بن ربعي (ب) خالد بن ربعي التميمي ثم النهشلي. وقيل: خالد بن مالك بن ربعي.</w:t>
      </w:r>
    </w:p>
    <w:p/>
    <w:p>
      <w:pPr/>
      <w:r>
        <w:rPr/>
        <w:t xml:space="preserve">أحد الوفود الوجوه من بني تميم على رسول الله صلى الله عليه وسلم، وكان قد تنافر هو والقعقاع بن معبد إلى ربيعة بن حذرا، أخي أسد بن خزيمة في الجاهلية، وقال لهما رسول الله صلى الله عليه وسلم: قد عرفتكما. وأراد أن يستعمل أحدهما على بني تميم، فقال أبو بكر: يا رسول الله، استعمل فلانا. وقال عمر: استعمل فلانا. فقال رسول الله صلى الله عليه وسلم: أما إنكما لو اجتمعتما لأخذت برأيكما، ولكنكما تختلفان علي أحيانا فأنزل الله سبحانه وتعالى: </w:t>
      </w:r>
    </w:p>
    <w:p>
      <w:pPr/>
      <w:r>
        <w:rPr>
          <w:color w:val="0000ff"/>
        </w:rPr>
        <w:t xml:space="preserve">{ياأيها الذين آمنوا لا تقدموا بين يدي الله ورسوله}</w:t>
      </w:r>
    </w:p>
    <w:p>
      <w:pPr/>
      <w:r>
        <w:rPr/>
        <w:t xml:space="preserve">.</w:t>
      </w:r>
    </w:p>
    <w:p/>
    <w:p>
      <w:pPr/>
      <w:r>
        <w:rPr/>
        <w:t xml:space="preserve">كذا رواه محمد بن المنكدر، وقال ابن الزبير: إن الرجلين اللذين جرت هذه القصة فيهما: القعقاع ابن معبد، والأقرع بن حابس. وسيذكر في القعقاع، إن شاء الله تعالى. أخرجه أبو عمر.</w:t>
      </w:r>
    </w:p>
    <w:p/>
    <w:p>
      <w:pPr/>
      <w:r>
        <w:rPr/>
        <w:t xml:space="preserve">حذار: بكسر الحاء المهملة وبالدال المعجمة، وضبطه أبو عمر بخطه بالجيم والدال المهملة، والله أعلم</w:t>
      </w:r>
    </w:p>
    <w:p>
      <w:pPr>
        <w:jc w:val="start"/>
        <w:bidi/>
      </w:pPr>
      <w:r>
        <w:rPr>
          <w:sz w:val="24"/>
          <w:szCs w:val="24"/>
          <w:b w:val="1"/>
          <w:bCs w:val="1"/>
          <w:rtl/>
        </w:rPr>
        <w:t xml:space="preserve">
أسد الغابة في معرفة الصحابة،(دار ابن حزم - بيروت،2012،ط 1،ج 1،ص 322)/(دار الكتب العلمية - بيروت،1994،ط 1،ج 2،ص 120)/(دار الفكر - بيروت،1989،ط 1،ج 1،ص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ربعي النهشلي
</w:t>
      </w:r>
    </w:p>
    <w:p>
      <w:pPr/>
      <w:r>
        <w:rPr/>
        <w:t xml:space="preserve">خالد بن ربعي النهشلي ويقال خالد بن مالك بن ربعي، وسيأتي.</w:t>
      </w:r>
    </w:p>
    <w:p>
      <w:pPr>
        <w:jc w:val="start"/>
        <w:bidi/>
      </w:pPr>
      <w:r>
        <w:rPr>
          <w:sz w:val="24"/>
          <w:szCs w:val="24"/>
          <w:b w:val="1"/>
          <w:bCs w:val="1"/>
          <w:rtl/>
        </w:rPr>
        <w:t xml:space="preserve">
الإصابة في تمييز الصحابة،(دار الكتب العلمية - بيروت،1995،ط 1،ج 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ربعي النهشلي التميمي
</w:t>
      </w:r>
    </w:p>
    <w:p>
      <w:pPr/>
      <w:r>
        <w:rPr/>
        <w:t xml:space="preserve">خالد بن ربعي النهشلي التميمي  ويقال: خالد بن مالك بن ربعي. أحد</w:t>
      </w:r>
    </w:p>
    <w:p/>
    <w:p>
      <w:pPr/>
      <w:r>
        <w:rPr/>
        <w:t xml:space="preserve">الوفود الوجوه من بني تميم على رسول الله صلى الله عليه وسلم، كان خالد بن ربعي هذا مقدما في رهطه، وكان قد تنافر هو والقعقاع بن معبد إلى ربيعة بن حذار أخي أسد بن خزيمة في الجاهلية، فقال لهما رسول الله صلى الله عليه وسلم: قد عرفتكما، وأراد أن يستعمل أحدهما على بني تميم، فقال أبو بكر: يا رسول الله، استعمل فلانا. وقال عمر: استعمل فلانا. فقال رسول الله صلى الله عليه وسلم: أما إنكما لو اجتمعتما أخذت برأيكما، ولكنكما تختلفان علي أحيانا، فأنزل الله تعالى: </w:t>
      </w:r>
    </w:p>
    <w:p>
      <w:pPr/>
      <w:r>
        <w:rPr>
          <w:color w:val="0000ff"/>
        </w:rPr>
        <w:t xml:space="preserve">{يا أيها الذين آمنوا لا تقدموا بين يدي الله ورسوله}</w:t>
      </w:r>
    </w:p>
    <w:p>
      <w:pPr/>
      <w:r>
        <w:rPr/>
        <w:t xml:space="preserve">. هكذا في رواية محمد بن المنكدر.</w:t>
      </w:r>
    </w:p>
    <w:p/>
    <w:p>
      <w:pPr/>
      <w:r>
        <w:rPr/>
        <w:t xml:space="preserve">وأما حديث ابن الزبير ففيه أن الرجلين اللذين جرت هذه القصة فيهما بين أبي بكر وعمر، القعقاع بن معبد، والأقرع بن حابس، وسيأتي ذكر ذلك في باب القعقاع إن شاء الله.</w:t>
      </w:r>
    </w:p>
    <w:p>
      <w:pPr>
        <w:jc w:val="start"/>
        <w:bidi/>
      </w:pPr>
      <w:r>
        <w:rPr>
          <w:sz w:val="24"/>
          <w:szCs w:val="24"/>
          <w:b w:val="1"/>
          <w:bCs w:val="1"/>
          <w:rtl/>
        </w:rPr>
        <w:t xml:space="preserve">
الاستيعاب في معرفة الأصحاب،(دار الجيل - بيروت،1992،ط 1،ج 2،ص 436)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2026-07-27T10:57:02+03:00</dcterms:created>
  <dcterms:modified xsi:type="dcterms:W3CDTF">2026-07-27T10:57:02+03:00</dcterms:modified>
</cp:coreProperties>
</file>

<file path=docProps/custom.xml><?xml version="1.0" encoding="utf-8"?>
<Properties xmlns="http://schemas.openxmlformats.org/officeDocument/2006/custom-properties" xmlns:vt="http://schemas.openxmlformats.org/officeDocument/2006/docPropsVTypes"/>
</file>