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الأبناسي
</w:t>
      </w:r>
    </w:p>
    <w:p>
      <w:pPr>
        <w:jc w:val="start"/>
        <w:bidi/>
      </w:pPr>
      <w:r>
        <w:rPr>
          <w:rFonts w:ascii="arial" w:hAnsi="arial" w:eastAsia="arial" w:cs="arial"/>
          <w:sz w:val="28"/>
          <w:szCs w:val="28"/>
          <w:b w:val="1"/>
          <w:bCs w:val="1"/>
          <w:rtl/>
        </w:rPr>
        <w:t xml:space="preserve">الأبناسي
</w:t>
      </w:r>
    </w:p>
    <w:p>
      <w:pPr/>
      <w:r>
        <w:rPr/>
        <w:t xml:space="preserve">الأبناسي  إبراهيم بن موسى بن أيوب، برهان الدين أبو إسحاق الأبناسي، ثم القاهري: فقيه شافعي. ولد بأبناس (من قرى الوجه البحري، بمصر) وانتقل إلى القاهرة شابا، فتفقه وسمع الحديث بها وبمكة والشام. وتصدى للإفتاء والتدريس بالازهر. وعين للقضاء فتوارى وأبى. وتوفي آيبا من الحج في عون القصب. من كتبه (العدة من رجال المعمدة - خ) كراسان من أوله، في الرباط (3175ك) وهو في تراجم عمدة الأحكام و (الدرة المضية في شرح الألفية - خ) في دار الكتب، فرغ من تأليفه في المسجد الأقصى بالقدس، و (الشذا الفياح من علوم ابن الصلاح - خ) في البلدية (ن 4452 - ج). </w:t>
      </w:r>
    </w:p>
    <w:p>
      <w:pPr>
        <w:jc w:val="start"/>
        <w:bidi/>
      </w:pPr>
      <w:r>
        <w:rPr>
          <w:sz w:val="24"/>
          <w:szCs w:val="24"/>
          <w:b w:val="1"/>
          <w:bCs w:val="1"/>
          <w:rtl/>
        </w:rPr>
        <w:t xml:space="preserve">
الأعلام،(دار العلم للملايين - بيروت،2002،ط 15،ج 1،ص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2026-07-01T18:58:45+03:00</dcterms:created>
  <dcterms:modified xsi:type="dcterms:W3CDTF">2026-07-01T18:58:45+03:00</dcterms:modified>
</cp:coreProperties>
</file>

<file path=docProps/custom.xml><?xml version="1.0" encoding="utf-8"?>
<Properties xmlns="http://schemas.openxmlformats.org/officeDocument/2006/custom-properties" xmlns:vt="http://schemas.openxmlformats.org/officeDocument/2006/docPropsVTypes"/>
</file>