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يوسف بن أحمد بن إبراهيم بن محمد البغدادي
</w:t>
      </w:r>
    </w:p>
    <w:p>
      <w:pPr>
        <w:jc w:val="start"/>
        <w:bidi/>
      </w:pPr>
      <w:r>
        <w:rPr>
          <w:rFonts w:ascii="arial" w:hAnsi="arial" w:eastAsia="arial" w:cs="arial"/>
          <w:sz w:val="28"/>
          <w:szCs w:val="28"/>
          <w:b w:val="1"/>
          <w:bCs w:val="1"/>
          <w:rtl/>
        </w:rPr>
        <w:t xml:space="preserve">الشيخ يوسف بن أحمد بن إبراهيم بن محمد البغدادي
</w:t>
      </w:r>
    </w:p>
    <w:p>
      <w:pPr/>
      <w:r>
        <w:rPr/>
        <w:t xml:space="preserve">الشيخ يوسف بن أحمد بن إبراهيم بن محمد البغدادي له مختصر الأربعين في مناقب أهل البيت الطاهر نقل عنه السيد علي بن طاووس في كتابه اليقين الحديث الرابع منه في الباب 199.</w:t>
      </w:r>
    </w:p>
    <w:p>
      <w:pPr>
        <w:jc w:val="start"/>
        <w:bidi/>
      </w:pPr>
      <w:r>
        <w:rPr>
          <w:sz w:val="24"/>
          <w:szCs w:val="24"/>
          <w:b w:val="1"/>
          <w:bCs w:val="1"/>
          <w:rtl/>
        </w:rPr>
        <w:t xml:space="preserve">
أعيان الشيعة،(دار التعارف للمطبوعات - بيروت،1983،ط 1،ج 10،ص 318)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2026-07-27T11:33:27+03:00</dcterms:created>
  <dcterms:modified xsi:type="dcterms:W3CDTF">2026-07-27T11:33:27+03:00</dcterms:modified>
</cp:coreProperties>
</file>

<file path=docProps/custom.xml><?xml version="1.0" encoding="utf-8"?>
<Properties xmlns="http://schemas.openxmlformats.org/officeDocument/2006/custom-properties" xmlns:vt="http://schemas.openxmlformats.org/officeDocument/2006/docPropsVTypes"/>
</file>