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ابن السيد صالح القزويني
</w:t>
      </w:r>
    </w:p>
    <w:p>
      <w:pPr>
        <w:jc w:val="start"/>
        <w:bidi/>
      </w:pPr>
      <w:r>
        <w:rPr>
          <w:rFonts w:ascii="arial" w:hAnsi="arial" w:eastAsia="arial" w:cs="arial"/>
          <w:sz w:val="28"/>
          <w:szCs w:val="28"/>
          <w:b w:val="1"/>
          <w:bCs w:val="1"/>
          <w:rtl/>
        </w:rPr>
        <w:t xml:space="preserve">السيد مهدي ابن السيد صالح القزويني
</w:t>
      </w:r>
    </w:p>
    <w:p>
      <w:pPr/>
      <w:r>
        <w:rPr/>
        <w:t xml:space="preserve">السيد مهدي ابن السيد صالح القزويني ولد سنة 1282 وتوفي بالبصرة ليلة الثلاثاء 7 ذي القعدة سنة 1358 وضجت البصرة بالبكاء والحزن وأقفلت الأسواق وعطلت الأشغال وسير نعشه إلى النجف الأشرف في حشد من السيارات ودفن في بعض حجر الصحن الشريف وأقيمت له الفواتح بالبصرة وغيرها وقدم ولده الميرزا محمد لصلاة الجماعة بالبصرة وكان يشتغل بطلب العلم بالنجف.</w:t>
      </w:r>
    </w:p>
    <w:p/>
    <w:p>
      <w:pPr/>
      <w:r>
        <w:rPr/>
        <w:t xml:space="preserve">(دراسته ورحلاته)</w:t>
      </w:r>
    </w:p>
    <w:p/>
    <w:p>
      <w:pPr/>
      <w:r>
        <w:rPr/>
        <w:t xml:space="preserve">هاجر إلى سامراء للدرس سنة 1299 ثم قصد إلى النجف الأشرف وبعد فترة قضاها في الدرس عاد إلى سامراء وبقي فيها إلى سنة 1315 تفرغ فيها للتحصيل على كل شيء من السيد محمد حسن الشيرازي والسيد محمد الهندي والشيخ محمد تقي الشيرازي والشيخ محمد طه نجف ثم قام برحلات إلى البلدان الآتية: الري وقم وطوس ومصر والشام ومكة والمدينة ثم استقر بكربلاء مدة سافر بعدها إلى النجف حيث طلب إليه هناك السفر إلى الكويت فسافر إليها حتى سنة 1343 حيث قصد زيارة العتبات وقد انتهز أهل البصرة وجوده هناك فرغبوا إليه السفر إليهم فلبى الرغبة وجاء البصرة وبقي فيها حتى وفاته صارفا وقته بالعمل المثمر.</w:t>
      </w:r>
    </w:p>
    <w:p/>
    <w:p>
      <w:pPr/>
      <w:r>
        <w:rPr/>
        <w:t xml:space="preserve">مؤلفاته</w:t>
      </w:r>
    </w:p>
    <w:p/>
    <w:p>
      <w:pPr/>
      <w:r>
        <w:rPr/>
        <w:t xml:space="preserve">ألف كتبا عديدة منها (1) بوار الغالين (2) هدى المتصفين (3) ظهور الخفية (4) خصائص الشيعة (5) كشف الحق (6) دولة الشجرة الملعونة (7) منهاج الشريعة (8) ذكرى للجمهور (9) حلية النجيب (10) حي على الحق (11) لسان الحق (12) الإسلام (13) بشائر الإسلام (14) زينة العباد (15) صولة الحق على جولة الباطل (16) ورود الرعة بأباحة المتعة (17) ضربات المحدثين على الحق المبين (18) القاضي العدل (19) صدق الخطاب (20) غرر الجمان (21) غش الركنية (22) سعادة المسلمين في نصرة الدين (23) غلبة البرهان على غارة البهتان (24) الغرر الحسينية. هذه هي الكتب التي طبعت أما التي لم تطبع فيبلغ عددها 45 مجلدا.</w:t>
      </w:r>
    </w:p>
    <w:p>
      <w:pPr>
        <w:jc w:val="start"/>
        <w:bidi/>
      </w:pPr>
      <w:r>
        <w:rPr>
          <w:sz w:val="24"/>
          <w:szCs w:val="24"/>
          <w:b w:val="1"/>
          <w:bCs w:val="1"/>
          <w:rtl/>
        </w:rPr>
        <w:t xml:space="preserve">
أعيان الشيعة،(دار التعارف للمطبوعات - بيروت،1983،ط 1،ج 10،ص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2026-07-27T10:23:37+03:00</dcterms:created>
  <dcterms:modified xsi:type="dcterms:W3CDTF">2026-07-27T10:23:37+03:00</dcterms:modified>
</cp:coreProperties>
</file>

<file path=docProps/custom.xml><?xml version="1.0" encoding="utf-8"?>
<Properties xmlns="http://schemas.openxmlformats.org/officeDocument/2006/custom-properties" xmlns:vt="http://schemas.openxmlformats.org/officeDocument/2006/docPropsVTypes"/>
</file>