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مهدي الكجوري المازندراني نزيل شيراز
</w:t>
      </w:r>
    </w:p>
    <w:p>
      <w:pPr>
        <w:jc w:val="start"/>
        <w:bidi/>
      </w:pPr>
      <w:r>
        <w:rPr>
          <w:rFonts w:ascii="arial" w:hAnsi="arial" w:eastAsia="arial" w:cs="arial"/>
          <w:sz w:val="28"/>
          <w:szCs w:val="28"/>
          <w:b w:val="1"/>
          <w:bCs w:val="1"/>
          <w:rtl/>
        </w:rPr>
        <w:t xml:space="preserve">الشيخ محمد مهدي الكجوري المازندراني نزيل شيراز
</w:t>
      </w:r>
    </w:p>
    <w:p>
      <w:pPr/>
      <w:r>
        <w:rPr/>
        <w:t xml:space="preserve">الشيخ محمد مهدي الكجوري المازندراني نزيل شيراز توفي سنة 1293 وقبره في صحن بقعة حافظ الشاعر الشهير.</w:t>
      </w:r>
    </w:p>
    <w:p/>
    <w:p>
      <w:pPr/>
      <w:r>
        <w:rPr/>
        <w:t xml:space="preserve">كان عالما فقيها أصوليا من أجلة تلاميذ صاحب الضوابط انتقلت إليه رياسة بلاد فارس في عصره ونصب له كرسي درس الخارج بشيراز. له مؤلفات منها الحاشية المعروفة المطبوعة على رسائل الشيخ الأنصاري في الأصول وذريته بيت علم وشرافة منهم الشيخ مهدي الكجوري ابن محمد رضا ابن المترجم وهو من أفاضل شيراز وأئمة الجماعة.</w:t>
      </w:r>
    </w:p>
    <w:p>
      <w:pPr>
        <w:jc w:val="start"/>
        <w:bidi/>
      </w:pPr>
      <w:r>
        <w:rPr>
          <w:sz w:val="24"/>
          <w:szCs w:val="24"/>
          <w:b w:val="1"/>
          <w:bCs w:val="1"/>
          <w:rtl/>
        </w:rPr>
        <w:t xml:space="preserve">
أعيان الشيعة،(دار التعارف للمطبوعات - بيروت،1983،ط 1،ج 10،ص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2026-07-27T12:44:37+03:00</dcterms:created>
  <dcterms:modified xsi:type="dcterms:W3CDTF">2026-07-27T12:44:37+03:00</dcterms:modified>
</cp:coreProperties>
</file>

<file path=docProps/custom.xml><?xml version="1.0" encoding="utf-8"?>
<Properties xmlns="http://schemas.openxmlformats.org/officeDocument/2006/custom-properties" xmlns:vt="http://schemas.openxmlformats.org/officeDocument/2006/docPropsVTypes"/>
</file>