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بن كرم علي رزكر محله البارفروشي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بن كرم علي رزكر محله البارفروشي
</w:t>
      </w:r>
    </w:p>
    <w:p>
      <w:pPr/>
      <w:r>
        <w:rPr/>
        <w:t xml:space="preserve">الشيخ محمد بن كرم علي رزكر محله البارفروشي المازندراني الحائري</w:t>
      </w:r>
    </w:p>
    <w:p/>
    <w:p>
      <w:pPr/>
      <w:r>
        <w:rPr/>
        <w:t xml:space="preserve">توفي بالحائر سنة 1315.</w:t>
      </w:r>
    </w:p>
    <w:p/>
    <w:p>
      <w:pPr/>
      <w:r>
        <w:rPr/>
        <w:t xml:space="preserve">له مؤلف في الفقه الاستدلالي في ست مجلدات من تقرير بحث أستاذه الأردكاني.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2026-07-27T10:33:16+03:00</dcterms:created>
  <dcterms:modified xsi:type="dcterms:W3CDTF">2026-07-27T10:33:16+03:00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