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المعروف بالقصير
</w:t>
      </w:r>
    </w:p>
    <w:p>
      <w:pPr>
        <w:jc w:val="start"/>
        <w:bidi/>
      </w:pPr>
      <w:r>
        <w:rPr>
          <w:rFonts w:ascii="arial" w:hAnsi="arial" w:eastAsia="arial" w:cs="arial"/>
          <w:sz w:val="28"/>
          <w:szCs w:val="28"/>
          <w:b w:val="1"/>
          <w:bCs w:val="1"/>
          <w:rtl/>
        </w:rPr>
        <w:t xml:space="preserve">السيد محمد المعروف بالقصير
</w:t>
      </w:r>
    </w:p>
    <w:p>
      <w:pPr/>
      <w:r>
        <w:rPr/>
        <w:t xml:space="preserve">السيد محمد المعروف بالقصير توفي في قم سنة 1255 ونقل إلى المشهد الرضوي ودفن فيه</w:t>
      </w:r>
    </w:p>
    <w:p/>
    <w:p>
      <w:pPr/>
      <w:r>
        <w:rPr/>
        <w:t xml:space="preserve">كان من أعاظم مجتهدي سلسلة السادة الرضوية في المشهد المقدس اشتهر بالرياسة العامة والفقاهة التامة وجاهد في دفع فتنة خان خيوق الواقعة بين سلطنة فتح علي شاه ومحمد شاه الأول. من مصنفاته (1) المصابيح في تمام الفقه (2) إعلام الورى من مبحث الطهارة إلى التميم (3) شرح مبسوط على كتاب الخمس والإجازة والقضاء والشهادات ولباس المصلة من اللمعة الدمشقية (4) كتاب في الرجال.</w:t>
      </w:r>
    </w:p>
    <w:p>
      <w:pPr>
        <w:jc w:val="start"/>
        <w:bidi/>
      </w:pPr>
      <w:r>
        <w:rPr>
          <w:sz w:val="24"/>
          <w:szCs w:val="24"/>
          <w:b w:val="1"/>
          <w:bCs w:val="1"/>
          <w:rtl/>
        </w:rPr>
        <w:t xml:space="preserve">
أعيان الشيعة،(دار التعارف للمطبوعات - بيروت،1983،ط 1،ج 10،ص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2026-07-27T13:26:22+03:00</dcterms:created>
  <dcterms:modified xsi:type="dcterms:W3CDTF">2026-07-27T13:26:22+03:00</dcterms:modified>
</cp:coreProperties>
</file>

<file path=docProps/custom.xml><?xml version="1.0" encoding="utf-8"?>
<Properties xmlns="http://schemas.openxmlformats.org/officeDocument/2006/custom-properties" xmlns:vt="http://schemas.openxmlformats.org/officeDocument/2006/docPropsVTypes"/>
</file>