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جعفر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جعفر القزاز
</w:t>
      </w:r>
    </w:p>
    <w:p>
      <w:pPr/>
      <w:r>
        <w:rPr/>
        <w:t xml:space="preserve">أبو عبد الله محمد بن جعفر القزاز القيرواني التميمي النحوي</w:t>
      </w:r>
    </w:p>
    <w:p/>
    <w:p>
      <w:pPr/>
      <w:r>
        <w:rPr/>
        <w:t xml:space="preserve">توفي سنة 412 في القيروان.</w:t>
      </w:r>
    </w:p>
    <w:p/>
    <w:p>
      <w:pPr/>
      <w:r>
        <w:rPr/>
        <w:t xml:space="preserve">له كتاب الضاد والظاء ذكره السيوطي في البغية وترجمه في نسمة السحر. له طراير الشعر والجامع في اللغة. قال في نسمة السحر وهو من الكتب المشهورة ونص على إنه إمامي.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2026-07-27T11:28:08+03:00</dcterms:created>
  <dcterms:modified xsi:type="dcterms:W3CDTF">2026-07-27T11:28:08+03:00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