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محمد جعفر المعروف بشر يعتمدار
</w:t>
      </w:r>
    </w:p>
    <w:p>
      <w:pPr>
        <w:jc w:val="start"/>
        <w:bidi/>
      </w:pPr>
      <w:r>
        <w:rPr>
          <w:rFonts w:ascii="arial" w:hAnsi="arial" w:eastAsia="arial" w:cs="arial"/>
          <w:sz w:val="28"/>
          <w:szCs w:val="28"/>
          <w:b w:val="1"/>
          <w:bCs w:val="1"/>
          <w:rtl/>
        </w:rPr>
        <w:t xml:space="preserve">المولى محمد جعفر المعروف بشر يعتمدار
</w:t>
      </w:r>
    </w:p>
    <w:p>
      <w:pPr/>
      <w:r>
        <w:rPr/>
        <w:t xml:space="preserve">المولى محمد جعفر المعروف بشر يعتمدار ابن المولى سيف الدين الاسترآبادي نزيل طهران</w:t>
      </w:r>
    </w:p>
    <w:p/>
    <w:p>
      <w:pPr/>
      <w:r>
        <w:rPr/>
        <w:t xml:space="preserve">ولد سنة 1198 وتوفي في طهران سنة 1263 ودفن في النجف.</w:t>
      </w:r>
    </w:p>
    <w:p/>
    <w:p>
      <w:pPr/>
      <w:r>
        <w:rPr/>
        <w:t xml:space="preserve">له رسالة آب حياة ماء الحياة في أصول الدين وله كتاب الفلك المشحون في أصول الدين أيضا وله تحفة العراق في علم الأخلاق وتعليقة على الروضة البهية وشروح عليها وجامع الفنون تكلم فيه على اثني عشر علما، ومائدة الزائرين الكبيرة ومائدة الزائرين الصغيرة وأنيس الزاهدين فرع منه سنة 1238 ومظاهر الأسرار في بيان وجوه إعجاز كلام الجبار في التفسير لم يتم.</w:t>
      </w:r>
    </w:p>
    <w:p/>
    <w:p>
      <w:pPr/>
      <w:r>
        <w:rPr/>
        <w:t xml:space="preserve">ومصابيح الدجى في أصول الفقه رأينا منه نسخة في مكتبة شريعتمدار الرشتي في طهران فرع منها مؤلفها في كربلاء سنة 1224 وله شوارع الأعلام في شرح قواعد الأحكام خرج منه المجلد الأول مرتبا إلى الحيض والباقي متفرقات.</w:t>
      </w:r>
    </w:p>
    <w:p/>
    <w:p>
      <w:pPr/>
      <w:r>
        <w:rPr/>
        <w:t xml:space="preserve">وله جامع كبير محمدي فارسي كتبه باسم الشاه محمد القاجاري. والقواعد الفقهية ويسمى المقاليد الجعفرية. وله حاشية على معالم الأصول قال في آخرها: وليكن هذا آخر ما أراد العبد المذنب محمد جعفر الاسترآبادي تأليفه من تحقيقات الأستاذ المحقق والسند العماد المدقق العالم الرباني مولانا وملاذنا وسيدنا السيد علي الطباطبائي البهبهاني ومما وصل إليه نظري القاصر ولما كانت هذه التعليقة من تحقيقات الأستاذ أعلى الله مقامه سميتها بملاذ الأوتاد من تحقيقات الأستاذ وكان الفراع من تأليفها سنة 1237 وله رسالة في الدراية سماها لب اللباب رأينا من كل منهما نسخة في مكتبة الشيخ علي المدرس في طهران ورأينا من الأولى نسخة في كرمانشاه.</w:t>
      </w:r>
    </w:p>
    <w:p/>
    <w:p>
      <w:pPr/>
      <w:r>
        <w:rPr/>
        <w:t xml:space="preserve">يروي بالإجازة عن السيد علي صاحب الرياض تاريخها 1228 وهو يومئذ ابن 30 سنة.</w:t>
      </w:r>
    </w:p>
    <w:p>
      <w:pPr>
        <w:jc w:val="start"/>
        <w:bidi/>
      </w:pPr>
      <w:r>
        <w:rPr>
          <w:sz w:val="24"/>
          <w:szCs w:val="24"/>
          <w:b w:val="1"/>
          <w:bCs w:val="1"/>
          <w:rtl/>
        </w:rPr>
        <w:t xml:space="preserve">
أعيان الشيعة،(دار التعارف للمطبوعات - بيروت،1983،ط 1،ج 9،ص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2026-07-27T11:31:19+03:00</dcterms:created>
  <dcterms:modified xsi:type="dcterms:W3CDTF">2026-07-27T11:31:19+03:00</dcterms:modified>
</cp:coreProperties>
</file>

<file path=docProps/custom.xml><?xml version="1.0" encoding="utf-8"?>
<Properties xmlns="http://schemas.openxmlformats.org/officeDocument/2006/custom-properties" xmlns:vt="http://schemas.openxmlformats.org/officeDocument/2006/docPropsVTypes"/>
</file>