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محمد تقي ابن الشيخ محمد باقر
</w:t>
      </w:r>
    </w:p>
    <w:p>
      <w:pPr>
        <w:jc w:val="start"/>
        <w:bidi/>
      </w:pPr>
      <w:r>
        <w:rPr>
          <w:rFonts w:ascii="arial" w:hAnsi="arial" w:eastAsia="arial" w:cs="arial"/>
          <w:sz w:val="28"/>
          <w:szCs w:val="28"/>
          <w:b w:val="1"/>
          <w:bCs w:val="1"/>
          <w:rtl/>
        </w:rPr>
        <w:t xml:space="preserve">الشيخ محمد تقي ابن الشيخ محمد باقر
</w:t>
      </w:r>
    </w:p>
    <w:p>
      <w:pPr/>
      <w:r>
        <w:rPr/>
        <w:t xml:space="preserve">الشيخ محمد تقي ابن الشيخ محمد باقر ابن الشيخ محمد تقي صاحب حاشية المعالم </w:t>
      </w:r>
    </w:p>
    <w:p/>
    <w:p>
      <w:pPr/>
      <w:r>
        <w:rPr/>
        <w:t xml:space="preserve">ابن الشيخ عبد الرحيم الأصفهاني الشهير بآقا نجفي</w:t>
      </w:r>
    </w:p>
    <w:p/>
    <w:p>
      <w:pPr/>
      <w:r>
        <w:rPr/>
        <w:t xml:space="preserve">توفي سنة 1332.</w:t>
      </w:r>
    </w:p>
    <w:p/>
    <w:p>
      <w:pPr/>
      <w:r>
        <w:rPr/>
        <w:t xml:space="preserve">قام مقام أبيه ورأس مكانه في أصفهان. قرأ في النجف على الميرزا السيد محمد حسن الشيرازي والشيخ مهدي آل الشيخ جعفر النجفي والشيخ راضي النجفي وبلغ من نفاذ حكمه وأمره في أصفهان إنه ناهض إدخال النظم والقوانين الحديثة إليها قتل بذلك عن أمره جملة من الناس وفي ذلك يقول أحد الشعراء:</w:t>
      </w:r>
    </w:p>
    <w:p/>
    <w:p>
      <w:pPr>
        <w:jc w:val="center"/>
      </w:pPr>
      <w:r>
        <w:rPr>
          <w:color w:val="ff0000"/>
        </w:rPr>
        <w:t xml:space="preserve">هم معشر نهضوا بدين محمد</w:t>
      </w:r>
      <w:r>
        <w:rPr>
          <w:color w:val="ff0000"/>
        </w:rPr>
        <w:t xml:space="preserve">      </w:t>
      </w:r>
      <w:r>
        <w:rPr>
          <w:color w:val="ff0000"/>
        </w:rPr>
        <w:t xml:space="preserve">في أصفهان وأتلفوا القانونا</w:t>
      </w:r>
    </w:p>
    <w:p/>
    <w:p>
      <w:pPr>
        <w:jc w:val="center"/>
      </w:pPr>
      <w:r>
        <w:rPr>
          <w:color w:val="ff0000"/>
        </w:rPr>
        <w:t xml:space="preserve">هدروا دم القوم الذين تزندقوا</w:t>
      </w:r>
      <w:r>
        <w:rPr>
          <w:color w:val="ff0000"/>
        </w:rPr>
        <w:t xml:space="preserve">      </w:t>
      </w:r>
      <w:r>
        <w:rPr>
          <w:color w:val="ff0000"/>
        </w:rPr>
        <w:t xml:space="preserve">ودم الزنادق لم يكن محقونا</w:t>
      </w:r>
    </w:p>
    <w:p/>
    <w:p>
      <w:pPr/>
      <w:r>
        <w:rPr/>
        <w:t xml:space="preserve">وضع كتبا كثيرة قيل إنها تناهز المائة حتى ادعى خصومه إن أكثرها منتحل ليس له. له كتاب المتاجر استدلالي مبسوط مطبوع وله جوامع الحقوق منتخب من كتاب العشرة من البحار مطبوع وله فقه الإمامية خرج منه مجلد الطهارة ومجلد البيع مطبوعان.</w:t>
      </w:r>
    </w:p>
    <w:p>
      <w:pPr>
        <w:jc w:val="start"/>
        <w:bidi/>
      </w:pPr>
      <w:r>
        <w:rPr>
          <w:sz w:val="24"/>
          <w:szCs w:val="24"/>
          <w:b w:val="1"/>
          <w:bCs w:val="1"/>
          <w:rtl/>
        </w:rPr>
        <w:t xml:space="preserve">
أعيان الشيعة،(دار التعارف للمطبوعات - بيروت،1983،ط 1،ج 9،ص 196)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2026-07-23T18:41:17+03:00</dcterms:created>
  <dcterms:modified xsi:type="dcterms:W3CDTF">2026-07-23T18:41:17+03:00</dcterms:modified>
</cp:coreProperties>
</file>

<file path=docProps/custom.xml><?xml version="1.0" encoding="utf-8"?>
<Properties xmlns="http://schemas.openxmlformats.org/officeDocument/2006/custom-properties" xmlns:vt="http://schemas.openxmlformats.org/officeDocument/2006/docPropsVTypes"/>
</file>