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إسماعيل بن محمد علي
</w:t>
      </w:r>
    </w:p>
    <w:p>
      <w:pPr>
        <w:jc w:val="start"/>
        <w:bidi/>
      </w:pPr>
      <w:r>
        <w:rPr>
          <w:rFonts w:ascii="arial" w:hAnsi="arial" w:eastAsia="arial" w:cs="arial"/>
          <w:sz w:val="28"/>
          <w:szCs w:val="28"/>
          <w:b w:val="1"/>
          <w:bCs w:val="1"/>
          <w:rtl/>
        </w:rPr>
        <w:t xml:space="preserve">محمد إسماعيل بن محمد علي
</w:t>
      </w:r>
    </w:p>
    <w:p>
      <w:pPr/>
      <w:r>
        <w:rPr/>
        <w:t xml:space="preserve">محمد إسماعيل بن محمد علي ابن الوحيد البهبهاني</w:t>
      </w:r>
    </w:p>
    <w:p/>
    <w:p>
      <w:pPr/>
      <w:r>
        <w:rPr/>
        <w:t xml:space="preserve">عالم فاضل كامل نبيل مقدس صالح قرأ على أبيه وعلى صاحب الرياض فصار مدققا في علم أصول الفقه وصاهر صاحب الرياض على ابنته وله أولاد أفاضل وهم الآقا محمد مهدي والآغا محمد صالح والآقا محمد هادي وله رسالة في الفقه ورسالة في الأصول.</w:t>
      </w:r>
    </w:p>
    <w:p>
      <w:pPr>
        <w:jc w:val="start"/>
        <w:bidi/>
      </w:pPr>
      <w:r>
        <w:rPr>
          <w:sz w:val="24"/>
          <w:szCs w:val="24"/>
          <w:b w:val="1"/>
          <w:bCs w:val="1"/>
          <w:rtl/>
        </w:rPr>
        <w:t xml:space="preserve">
أعيان الشيعة،(دار التعارف للمطبوعات - بيروت،1983،ط 1،ج 9،ص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2026-07-25T14:53:57+03:00</dcterms:created>
  <dcterms:modified xsi:type="dcterms:W3CDTF">2026-07-25T14:53:57+03:00</dcterms:modified>
</cp:coreProperties>
</file>

<file path=docProps/custom.xml><?xml version="1.0" encoding="utf-8"?>
<Properties xmlns="http://schemas.openxmlformats.org/officeDocument/2006/custom-properties" xmlns:vt="http://schemas.openxmlformats.org/officeDocument/2006/docPropsVTypes"/>
</file>