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محمد بن أحمد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محمد بن أحمد بن هارون
</w:t>
      </w:r>
    </w:p>
    <w:p>
      <w:pPr/>
      <w:r>
        <w:rPr/>
        <w:t xml:space="preserve">أبو منصور محمد بن أحمد بن هارون ابن أحمد خازن دار الكتب القديمة بالكرخ</w:t>
      </w:r>
    </w:p>
    <w:p/>
    <w:p>
      <w:pPr/>
      <w:r>
        <w:rPr/>
        <w:t xml:space="preserve">توفي 13 شعبان سنة 510.</w:t>
      </w:r>
    </w:p>
    <w:p/>
    <w:p>
      <w:pPr/>
      <w:r>
        <w:rPr/>
        <w:t xml:space="preserve">قال ابن الجوزي: كان نحويا أديبا فاضلا فقيها شيعيا.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2026-07-27T14:34:01+03:00</dcterms:created>
  <dcterms:modified xsi:type="dcterms:W3CDTF">2026-07-27T14:34:01+03:00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