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علي الملقب بشهاب التولية
</w:t>
      </w:r>
    </w:p>
    <w:p>
      <w:pPr>
        <w:jc w:val="start"/>
        <w:bidi/>
      </w:pPr>
      <w:r>
        <w:rPr>
          <w:rFonts w:ascii="arial" w:hAnsi="arial" w:eastAsia="arial" w:cs="arial"/>
          <w:sz w:val="28"/>
          <w:szCs w:val="28"/>
          <w:b w:val="1"/>
          <w:bCs w:val="1"/>
          <w:rtl/>
        </w:rPr>
        <w:t xml:space="preserve">شهاب الدين علي الملقب بشهاب التولية
</w:t>
      </w:r>
    </w:p>
    <w:p>
      <w:pPr/>
      <w:r>
        <w:rPr/>
        <w:t xml:space="preserve">شهاب الدين علي الملقب بشهاب التولية ابن ميرزا محمد رضا بن محمد علي بن محمد تقي بن محمد علي نقي بن محمد حسن بن محمد بديع بن أبي طالب إلى آخر النسب المذكور في محمد بديع الرضوي المستهدي</w:t>
      </w:r>
    </w:p>
    <w:p/>
    <w:p>
      <w:pPr/>
      <w:r>
        <w:rPr/>
        <w:t xml:space="preserve">كان له منصب رئاسة الدفتر في المشهد المقدس الرضوي وصرف عمره في الخدمة بالصدق والديانة.</w:t>
      </w:r>
    </w:p>
    <w:p>
      <w:pPr>
        <w:jc w:val="start"/>
        <w:bidi/>
      </w:pPr>
      <w:r>
        <w:rPr>
          <w:sz w:val="24"/>
          <w:szCs w:val="24"/>
          <w:b w:val="1"/>
          <w:bCs w:val="1"/>
          <w:rtl/>
        </w:rPr>
        <w:t xml:space="preserve">
أعيان الشيعة،(دار التعارف للمطبوعات - بيروت،1983،ط 1،ج 8،ص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2026-07-27T15:32:14+03:00</dcterms:created>
  <dcterms:modified xsi:type="dcterms:W3CDTF">2026-07-27T15:32:14+03:00</dcterms:modified>
</cp:coreProperties>
</file>

<file path=docProps/custom.xml><?xml version="1.0" encoding="utf-8"?>
<Properties xmlns="http://schemas.openxmlformats.org/officeDocument/2006/custom-properties" xmlns:vt="http://schemas.openxmlformats.org/officeDocument/2006/docPropsVTypes"/>
</file>