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آغا البغدادي الشريف العلوي
</w:t>
      </w:r>
    </w:p>
    <w:p>
      <w:pPr>
        <w:jc w:val="start"/>
        <w:bidi/>
      </w:pPr>
      <w:r>
        <w:rPr>
          <w:rFonts w:ascii="arial" w:hAnsi="arial" w:eastAsia="arial" w:cs="arial"/>
          <w:sz w:val="28"/>
          <w:szCs w:val="28"/>
          <w:b w:val="1"/>
          <w:bCs w:val="1"/>
          <w:rtl/>
        </w:rPr>
        <w:t xml:space="preserve">علي آغا البغدادي الشريف العلوي
</w:t>
      </w:r>
    </w:p>
    <w:p>
      <w:pPr/>
      <w:r>
        <w:rPr/>
        <w:t xml:space="preserve">علي آغا البغدادي الشريف العلوي كان حيا سنة 1227</w:t>
      </w:r>
    </w:p>
    <w:p/>
    <w:p>
      <w:pPr/>
      <w:r>
        <w:rPr/>
        <w:t xml:space="preserve">هو ابن أخي الحاج أحمد آغا البغدادي المشهور المارة ترجمته في محلها الذي كان آغا القول في الشام في زمن الجزار والمترجم كان عند والي صيدا فأرسله متسلما إلى صور (حاكما) وفي سنة 1227 أرسله للشام متسلما ثم إن الوالي نصبه قائم مقام وعن كتاب ميخائيل الدمشقي أنه كان فريد الأوصاف ذكي العقل متوقد الفهم وكانت الناس راضية منه في مدة ولايته ويميل للنصارى وعنده معروف ورقة لكنه كان بخيلا.</w:t>
      </w:r>
    </w:p>
    <w:p>
      <w:pPr>
        <w:jc w:val="start"/>
        <w:bidi/>
      </w:pPr>
      <w:r>
        <w:rPr>
          <w:sz w:val="24"/>
          <w:szCs w:val="24"/>
          <w:b w:val="1"/>
          <w:bCs w:val="1"/>
          <w:rtl/>
        </w:rPr>
        <w:t xml:space="preserve">
أعيان الشيعة،(دار التعارف للمطبوعات - بيروت،1983،ط 1،ج 8،ص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2026-07-27T13:47:41+03:00</dcterms:created>
  <dcterms:modified xsi:type="dcterms:W3CDTF">2026-07-27T13:47:41+03:00</dcterms:modified>
</cp:coreProperties>
</file>

<file path=docProps/custom.xml><?xml version="1.0" encoding="utf-8"?>
<Properties xmlns="http://schemas.openxmlformats.org/officeDocument/2006/custom-properties" xmlns:vt="http://schemas.openxmlformats.org/officeDocument/2006/docPropsVTypes"/>
</file>