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ابن السيد إسماعيل
</w:t>
      </w:r>
    </w:p>
    <w:p>
      <w:pPr>
        <w:jc w:val="start"/>
        <w:bidi/>
      </w:pPr>
      <w:r>
        <w:rPr>
          <w:rFonts w:ascii="arial" w:hAnsi="arial" w:eastAsia="arial" w:cs="arial"/>
          <w:sz w:val="28"/>
          <w:szCs w:val="28"/>
          <w:b w:val="1"/>
          <w:bCs w:val="1"/>
          <w:rtl/>
        </w:rPr>
        <w:t xml:space="preserve">السيد علي ابن السيد إسماعيل
</w:t>
      </w:r>
    </w:p>
    <w:p>
      <w:pPr/>
      <w:r>
        <w:rPr/>
        <w:t xml:space="preserve">السيد علي ابن السيد إسماعيل ابن أبي جعفر محمد بن علي الغياث</w:t>
      </w:r>
    </w:p>
    <w:p/>
    <w:p>
      <w:pPr/>
      <w:r>
        <w:rPr/>
        <w:t xml:space="preserve">ابن أحمد المقدسي دفين لملوم بن هاشم بن علوي عتيق الحسين بن حسين الغريفي الموسوي البحراني. توفي سنة 1246 بالطاعون الكبير وتولى تجهيزه السيد باقر القزويني ودفن في الصحن الشريف في أول حجرة على يمين الداخل من باب الطوسي. عالم فاضل شاعر تلمذ على بحر العلوم والشيخ جعفر والشيخ حسين نجف والشيخ خضر شلال والشيخ راضي وغيرهم وقرأ عليه السيد مهدي القزويني.</w:t>
      </w:r>
    </w:p>
    <w:p>
      <w:pPr>
        <w:jc w:val="start"/>
        <w:bidi/>
      </w:pPr>
      <w:r>
        <w:rPr>
          <w:sz w:val="24"/>
          <w:szCs w:val="24"/>
          <w:b w:val="1"/>
          <w:bCs w:val="1"/>
          <w:rtl/>
        </w:rPr>
        <w:t xml:space="preserve">
أعيان الشيعة،(دار التعارف للمطبوعات - بيروت،1983،ط 1،ج 8،ص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2026-07-27T14:23:40+03:00</dcterms:created>
  <dcterms:modified xsi:type="dcterms:W3CDTF">2026-07-27T14:23:40+03:00</dcterms:modified>
</cp:coreProperties>
</file>

<file path=docProps/custom.xml><?xml version="1.0" encoding="utf-8"?>
<Properties xmlns="http://schemas.openxmlformats.org/officeDocument/2006/custom-properties" xmlns:vt="http://schemas.openxmlformats.org/officeDocument/2006/docPropsVTypes"/>
</file>