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علي بن أحمد الظالمي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علي بن أحمد الظالمي
</w:t>
      </w:r>
    </w:p>
    <w:p>
      <w:pPr/>
      <w:r>
        <w:rPr/>
        <w:t xml:space="preserve">الشيخ علي بن أحمد الظالمي في نشوة السلافة: شرب من الآداب كأسا رويا وزاحم في علو رتبته العيوق والثريا حسن نظمه ونثره وطلع في أفق البلاغة بدره فمن جيد نظمه قوله يمدح قصيدتي المذهبة:</w:t>
      </w:r>
    </w:p>
    <w:p/>
    <w:p>
      <w:pPr>
        <w:jc w:val="center"/>
      </w:pPr>
      <w:r>
        <w:rPr>
          <w:color w:val="ff0000"/>
        </w:rPr>
        <w:t xml:space="preserve">ومنظومة ما مثلها من قصيدة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تناظرها فهي الفريدة في العقد</w:t>
      </w:r>
    </w:p>
    <w:p/>
    <w:p>
      <w:pPr>
        <w:jc w:val="center"/>
      </w:pPr>
      <w:r>
        <w:rPr>
          <w:color w:val="ff0000"/>
        </w:rPr>
        <w:t xml:space="preserve">تريك المعاني حين تجلى بلفظها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عرائس يسحبن البرود على القد</w:t>
      </w:r>
    </w:p>
    <w:p/>
    <w:p>
      <w:pPr>
        <w:jc w:val="center"/>
      </w:pPr>
      <w:r>
        <w:rPr>
          <w:color w:val="ff0000"/>
        </w:rPr>
        <w:t xml:space="preserve">وقد صاغها من فاق بالشعر جرولا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وطال على الحذاق بالفهم والنقد</w:t>
      </w:r>
    </w:p>
    <w:p/>
    <w:p>
      <w:pPr>
        <w:jc w:val="center"/>
      </w:pPr>
      <w:r>
        <w:rPr>
          <w:color w:val="ff0000"/>
        </w:rPr>
        <w:t xml:space="preserve">فقل للذي يبغي يساميه رتبة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رويدك هذا البدر في منزل السعد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2026-06-21T23:33:29+03:00</dcterms:created>
  <dcterms:modified xsi:type="dcterms:W3CDTF">2026-06-21T23:33:29+03:00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