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علم الهدى بن الداعي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علم الهدى بن الداعي
</w:t>
      </w:r>
    </w:p>
    <w:p>
      <w:pPr/>
      <w:r>
        <w:rPr/>
        <w:t xml:space="preserve">المولى علم الهدى بن الداعي ابن ملك اردشير بن عبد اللطيف ابن الشيخ </w:t>
      </w:r>
    </w:p>
    <w:p/>
    <w:p>
      <w:pPr/>
      <w:r>
        <w:rPr/>
        <w:t xml:space="preserve">صاحب المعالم العاملي الأصل الكاشاني المسكن</w:t>
      </w:r>
    </w:p>
    <w:p/>
    <w:p>
      <w:pPr/>
      <w:r>
        <w:rPr/>
        <w:t xml:space="preserve">كان فقيها رياضيا محدثا مفسرا له كتاب في الفقه عندي مجلدات العبادات منه وفي آخرها: قد وقع الفراع منه في العام السابع من المائة الثانية من الألف الثاني. يظهر منه وفور تتبعه وقوة فكره ونظره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2026-06-21T22:09:48+03:00</dcterms:created>
  <dcterms:modified xsi:type="dcterms:W3CDTF">2026-06-21T22:09:48+03:00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