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علم أو علي بن سيف بن منصور
</w:t>
      </w:r>
    </w:p>
    <w:p>
      <w:pPr>
        <w:jc w:val="start"/>
        <w:bidi/>
      </w:pPr>
      <w:r>
        <w:rPr>
          <w:rFonts w:ascii="arial" w:hAnsi="arial" w:eastAsia="arial" w:cs="arial"/>
          <w:sz w:val="28"/>
          <w:szCs w:val="28"/>
          <w:b w:val="1"/>
          <w:bCs w:val="1"/>
          <w:rtl/>
        </w:rPr>
        <w:t xml:space="preserve">الشيخ علم أو علي بن سيف بن منصور
</w:t>
      </w:r>
    </w:p>
    <w:p>
      <w:pPr/>
      <w:r>
        <w:rPr/>
        <w:t xml:space="preserve">الشيخ علم أو علي بن سيف بن منصور من مؤلفاته كنز الفوائد ودافع المعاند وهو منتخب كتاب تأويل الآيات الظاهرة في فضائل العترة الطاهرة للسيد شرف الدين علي الحسيني الاسترآبادي المتوطن في الغري تلميذ الكركي انتخبه في المشهد المقدس الغروي سنة 939.</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2026-06-21T22:12:18+03:00</dcterms:created>
  <dcterms:modified xsi:type="dcterms:W3CDTF">2026-06-21T22:12:18+03:00</dcterms:modified>
</cp:coreProperties>
</file>

<file path=docProps/custom.xml><?xml version="1.0" encoding="utf-8"?>
<Properties xmlns="http://schemas.openxmlformats.org/officeDocument/2006/custom-properties" xmlns:vt="http://schemas.openxmlformats.org/officeDocument/2006/docPropsVTypes"/>
</file>