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صفي الدين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صفي الدين الجرجاني
</w:t>
      </w:r>
    </w:p>
    <w:p>
      <w:pPr/>
      <w:r>
        <w:rPr/>
        <w:t xml:space="preserve">عبد المؤمن بن صفي الدين الجرجاني له بهجة الروح في الموسيقي فارسي مرتب على مقدمة وعشرة أبواب وخاتمة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2026-06-21T15:03:48+03:00</dcterms:created>
  <dcterms:modified xsi:type="dcterms:W3CDTF">2026-06-21T15:03:48+03:00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