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أبو الفضل عبد الله بن كثير
</w:t>
      </w:r>
    </w:p>
    <w:p>
      <w:pPr>
        <w:jc w:val="start"/>
        <w:bidi/>
      </w:pPr>
      <w:r>
        <w:rPr>
          <w:rFonts w:ascii="arial" w:hAnsi="arial" w:eastAsia="arial" w:cs="arial"/>
          <w:sz w:val="28"/>
          <w:szCs w:val="28"/>
          <w:b w:val="1"/>
          <w:bCs w:val="1"/>
          <w:rtl/>
        </w:rPr>
        <w:t xml:space="preserve">علاء الدين أبو الفضل عبد الله بن كثير
</w:t>
      </w:r>
    </w:p>
    <w:p>
      <w:pPr/>
      <w:r>
        <w:rPr/>
        <w:t xml:space="preserve">علاء الدين أبو الفضل عبد الله بن كثير ابن محمد شاه الأشنهي الفقيه</w:t>
      </w:r>
    </w:p>
    <w:p/>
    <w:p>
      <w:pPr/>
      <w:r>
        <w:rPr/>
        <w:t xml:space="preserve">توفي سنة 687. في كتاب معجم الآداب ومجمع الألقاب لابن الفوطي بخطه: قدم مراغة سنة 770 وكان فصيح اللسان مليح البيان وكان يحضر مجلس مولانا نصير الدين ويورد الفصول المختارة بالعربية والفارسية ويتردد إلى محافل الحكام في التهنئة والتعزية وله أخلاق حسنة وكتب الرسائل باللغتين نثرا ونظما وكان يتردد إلي مدة مقامي بالرصد وكتبت عنه وكتب عني وتوفي بمراغة سنة 687.</w:t>
      </w:r>
    </w:p>
    <w:p>
      <w:pPr>
        <w:jc w:val="start"/>
        <w:bidi/>
      </w:pPr>
      <w:r>
        <w:rPr>
          <w:sz w:val="24"/>
          <w:szCs w:val="24"/>
          <w:b w:val="1"/>
          <w:bCs w:val="1"/>
          <w:rtl/>
        </w:rPr>
        <w:t xml:space="preserve">
أعيان الشيعة،(دار التعارف للمطبوعات - بيروت،1983،ط 1،ج 8،ص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2026-06-21T13:40:16+03:00</dcterms:created>
  <dcterms:modified xsi:type="dcterms:W3CDTF">2026-06-21T13:40:16+03:00</dcterms:modified>
</cp:coreProperties>
</file>

<file path=docProps/custom.xml><?xml version="1.0" encoding="utf-8"?>
<Properties xmlns="http://schemas.openxmlformats.org/officeDocument/2006/custom-properties" xmlns:vt="http://schemas.openxmlformats.org/officeDocument/2006/docPropsVTypes"/>
</file>