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المولى عبد الله بن شهاب الدين حسين الشهاب آبادي
</w:t>
      </w:r>
    </w:p>
    <w:p>
      <w:pPr>
        <w:jc w:val="start"/>
        <w:bidi/>
      </w:pPr>
      <w:r>
        <w:rPr>
          <w:rFonts w:ascii="arial" w:hAnsi="arial" w:eastAsia="arial" w:cs="arial"/>
          <w:sz w:val="28"/>
          <w:szCs w:val="28"/>
          <w:b w:val="1"/>
          <w:bCs w:val="1"/>
          <w:rtl/>
        </w:rPr>
        <w:t xml:space="preserve">المولى عبد الله بن شهاب الدين حسين الشهاب آبادي
</w:t>
      </w:r>
    </w:p>
    <w:p>
      <w:pPr/>
      <w:r>
        <w:rPr/>
        <w:t xml:space="preserve">المولى عبد الله بن شهاب الدين حسين الشهاب آبادي معاصر للأردبيلي قرأ عليه صاحبا المعالم والمدارك في العقليات وقرأ عليهما في الشرعيات توفي سنة 981 له شرح العجالة وهو حاشية على الجلالية الدونلية على تهذيب المنطق وسميت بالعجالة لما في أولها هذه عجالة نافعة وغلالة رائعة ويظهر من الرياض أن أسم الشرح الخرازة وله الحاشية المشهورة على تهذيب المنطق. وكان خازن الحرم الشريف الغروي من قبل السلاطين الصفوية وكذلك ولده خزنة الحرم الشريف وإليه تنتسب الطائفة المشهورة ببيت الملا الموجودة الآن في النجف.</w:t>
      </w:r>
    </w:p>
    <w:p>
      <w:pPr>
        <w:jc w:val="start"/>
        <w:bidi/>
      </w:pPr>
      <w:r>
        <w:rPr>
          <w:sz w:val="24"/>
          <w:szCs w:val="24"/>
          <w:b w:val="1"/>
          <w:bCs w:val="1"/>
          <w:rtl/>
        </w:rPr>
        <w:t xml:space="preserve">
أعيان الشيعة،(دار التعارف للمطبوعات - بيروت،1983،ط 1،ج 8،ص 53)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2026-06-17T14:24:21+03:00</dcterms:created>
  <dcterms:modified xsi:type="dcterms:W3CDTF">2026-06-17T14:24:21+03:00</dcterms:modified>
</cp:coreProperties>
</file>

<file path=docProps/custom.xml><?xml version="1.0" encoding="utf-8"?>
<Properties xmlns="http://schemas.openxmlformats.org/officeDocument/2006/custom-properties" xmlns:vt="http://schemas.openxmlformats.org/officeDocument/2006/docPropsVTypes"/>
</file>