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عبد الله ابن السيد حسين الغريفي
</w:t>
      </w:r>
    </w:p>
    <w:p>
      <w:pPr>
        <w:jc w:val="start"/>
        <w:bidi/>
      </w:pPr>
      <w:r>
        <w:rPr>
          <w:rFonts w:ascii="arial" w:hAnsi="arial" w:eastAsia="arial" w:cs="arial"/>
          <w:sz w:val="28"/>
          <w:szCs w:val="28"/>
          <w:b w:val="1"/>
          <w:bCs w:val="1"/>
          <w:rtl/>
        </w:rPr>
        <w:t xml:space="preserve">السيد عبد الله ابن السيد حسين الغريفي
</w:t>
      </w:r>
    </w:p>
    <w:p>
      <w:pPr/>
      <w:r>
        <w:rPr/>
        <w:t xml:space="preserve">السيد عبد الله ابن السيد حسين الغريفي البلادي البحراني</w:t>
      </w:r>
    </w:p>
    <w:p/>
    <w:p>
      <w:pPr/>
      <w:r>
        <w:rPr/>
        <w:t xml:space="preserve">ولد ببلاد القديم إحدى قرى البحرين سنة 1090 وتوفي في بهبهان سنة 1165 ودفن بها. كان محدثا فقيها قرأ على الشيخ أحمد الجزائري والشيخ عبد الله بن صالح البحراني والشيخ سليمان الماحوري صاحب تحفة المعراج والشيخ أحمد بن إبراهيم البحراني يروي بالإجازة عن صاحب الحدائق وتاريخ الإجازة 20 شعبان سنة 1153 ذكرها حفيده السيد مهدي البحراني في رسالته الدوحة الغريفية.</w:t>
      </w:r>
    </w:p>
    <w:p>
      <w:pPr>
        <w:jc w:val="start"/>
        <w:bidi/>
      </w:pPr>
      <w:r>
        <w:rPr>
          <w:sz w:val="24"/>
          <w:szCs w:val="24"/>
          <w:b w:val="1"/>
          <w:bCs w:val="1"/>
          <w:rtl/>
        </w:rPr>
        <w:t xml:space="preserve">
أعيان الشيعة،(دار التعارف للمطبوعات - بيروت،1983،ط 1،ج 8،ص 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2026-05-25T21:00:06+03:00</dcterms:created>
  <dcterms:modified xsi:type="dcterms:W3CDTF">2026-05-25T21:00:06+03:00</dcterms:modified>
</cp:coreProperties>
</file>

<file path=docProps/custom.xml><?xml version="1.0" encoding="utf-8"?>
<Properties xmlns="http://schemas.openxmlformats.org/officeDocument/2006/custom-properties" xmlns:vt="http://schemas.openxmlformats.org/officeDocument/2006/docPropsVTypes"/>
</file>