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الله بن إسحاق الرضوي القمي
</w:t>
      </w:r>
    </w:p>
    <w:p>
      <w:pPr>
        <w:jc w:val="start"/>
        <w:bidi/>
      </w:pPr>
      <w:r>
        <w:rPr>
          <w:rFonts w:ascii="arial" w:hAnsi="arial" w:eastAsia="arial" w:cs="arial"/>
          <w:sz w:val="28"/>
          <w:szCs w:val="28"/>
          <w:b w:val="1"/>
          <w:bCs w:val="1"/>
          <w:rtl/>
        </w:rPr>
        <w:t xml:space="preserve">السيد عبد الله بن إسحاق الرضوي القمي
</w:t>
      </w:r>
    </w:p>
    <w:p>
      <w:pPr/>
      <w:r>
        <w:rPr/>
        <w:t xml:space="preserve">السيد عبد الله بن إسحاق الرضوي القمي توفي في ربيع الأول سنة1333 بقم ودفن بمقبرة شيخان بجنب قبر آدم بن إدريس الأشعري.</w:t>
      </w:r>
    </w:p>
    <w:p/>
    <w:p>
      <w:pPr/>
      <w:r>
        <w:rPr/>
        <w:t xml:space="preserve">كان عالما فقيها جليلا ببلدة قم وله منصب الخدمة في حرم السيد فاطمة قرأ على الميرزا السيد محمد الشيرازي والميرزا حبيب الله الرشتي والملا محمد الأيرواني والشيخ زين العابدين المازندراني وغيرهم ويروي عنهم بالإجازة. له من المؤلفات كتاب في منجزات المريض. كتاب في القضاء والشهادة.</w:t>
      </w:r>
    </w:p>
    <w:p>
      <w:pPr>
        <w:jc w:val="start"/>
        <w:bidi/>
      </w:pPr>
      <w:r>
        <w:rPr>
          <w:sz w:val="24"/>
          <w:szCs w:val="24"/>
          <w:b w:val="1"/>
          <w:bCs w:val="1"/>
          <w:rtl/>
        </w:rPr>
        <w:t xml:space="preserve">
أعيان الشيعة،(دار التعارف للمطبوعات - بيروت،1983،ط 1،ج 8،ص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2026-06-15T19:52:58+03:00</dcterms:created>
  <dcterms:modified xsi:type="dcterms:W3CDTF">2026-06-15T19:52:58+03:00</dcterms:modified>
</cp:coreProperties>
</file>

<file path=docProps/custom.xml><?xml version="1.0" encoding="utf-8"?>
<Properties xmlns="http://schemas.openxmlformats.org/officeDocument/2006/custom-properties" xmlns:vt="http://schemas.openxmlformats.org/officeDocument/2006/docPropsVTypes"/>
</file>