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علي بن أحمد بن إبراهيم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علي بن أحمد بن إبراهيم البحراني
</w:t>
      </w:r>
    </w:p>
    <w:p>
      <w:pPr/>
      <w:r>
        <w:rPr/>
        <w:t xml:space="preserve">الشيخ عبد علي بن أحمد بن إبراهيم البحراني أخو يوسف صاحب الحدائق</w:t>
      </w:r>
    </w:p>
    <w:p/>
    <w:p>
      <w:pPr/>
      <w:r>
        <w:rPr/>
        <w:t xml:space="preserve">توفي في رجب سنة1127. ودفن في الرواق الشريف عالم فاضل فقيه من آل عصفور له كتاب أخبار الشريعة في الفقه ونسب إليه القول بوجوب الجهر بالتسبيحات في الأخيرتين.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2026-06-15T18:42:41+03:00</dcterms:created>
  <dcterms:modified xsi:type="dcterms:W3CDTF">2026-06-15T18:42:41+03:00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