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علي بن ناصر بن رحمة
</w:t>
      </w:r>
    </w:p>
    <w:p>
      <w:pPr>
        <w:jc w:val="start"/>
        <w:bidi/>
      </w:pPr>
      <w:r>
        <w:rPr>
          <w:rFonts w:ascii="arial" w:hAnsi="arial" w:eastAsia="arial" w:cs="arial"/>
          <w:sz w:val="28"/>
          <w:szCs w:val="28"/>
          <w:b w:val="1"/>
          <w:bCs w:val="1"/>
          <w:rtl/>
        </w:rPr>
        <w:t xml:space="preserve">الشيخ عبد علي بن ناصر بن رحمة
</w:t>
      </w:r>
    </w:p>
    <w:p>
      <w:pPr/>
      <w:r>
        <w:rPr/>
        <w:t xml:space="preserve">الشيخ عبد علي بن ناصر بن رحمة ذكره في السلافة وأثنى عليه بالعلم والفضل والأدب قال من مؤلفاته المعول في شرح شواهد المطول. قطر الغمام في شرح كلام الملوك ملوك الكلام. ديوان شعر بالعربية. أشعار بالفارسية والتركية ’’انتهى’’ وهو غير الشيخ عبد علي بن رحمة الحويزي السابق وإن كانا متعاصرين والمترجم كان يسكن البصرة قرأ على جماعة من علماء العجم والعرب منهم المولى حسن علي بن المولى عبد الله التستري المعروف وكان المترجم آية في الذكاء والفطنة والكمال وله يد طولى في الإنشاء والعلوم العربية وله شرح على مغني اللبيب تعرض فيه لشرح شواهد حسن الفوائد.</w:t>
      </w:r>
    </w:p>
    <w:p>
      <w:pPr>
        <w:jc w:val="start"/>
        <w:bidi/>
      </w:pPr>
      <w:r>
        <w:rPr>
          <w:sz w:val="24"/>
          <w:szCs w:val="24"/>
          <w:b w:val="1"/>
          <w:bCs w:val="1"/>
          <w:rtl/>
        </w:rPr>
        <w:t xml:space="preserve">
أعيان الشيعة،(دار التعارف للمطبوعات - بيروت،1983،ط 1،ج 8،ص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2026-06-15T18:39:15+03:00</dcterms:created>
  <dcterms:modified xsi:type="dcterms:W3CDTF">2026-06-15T18:39:15+03:00</dcterms:modified>
</cp:coreProperties>
</file>

<file path=docProps/custom.xml><?xml version="1.0" encoding="utf-8"?>
<Properties xmlns="http://schemas.openxmlformats.org/officeDocument/2006/custom-properties" xmlns:vt="http://schemas.openxmlformats.org/officeDocument/2006/docPropsVTypes"/>
</file>