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عبد الصمد بن أحمد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عبد الصمد بن أحمد الموسوي
</w:t>
      </w:r>
    </w:p>
    <w:p>
      <w:pPr/>
      <w:r>
        <w:rPr/>
        <w:t xml:space="preserve">السيد عبد الصمد بن أحمد الموسوي الجزائري التتري المعاصر </w:t>
      </w:r>
    </w:p>
    <w:p/>
    <w:p>
      <w:pPr/>
      <w:r>
        <w:rPr/>
        <w:t xml:space="preserve">له المحاكمات بين صاحبي القوانين والفصول وله فصل الخطاب.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2026-06-15T17:28:32+03:00</dcterms:created>
  <dcterms:modified xsi:type="dcterms:W3CDTF">2026-06-15T17:28:32+03:00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