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الصاحب بن محمد
</w:t>
      </w:r>
    </w:p>
    <w:p>
      <w:pPr>
        <w:jc w:val="start"/>
        <w:bidi/>
      </w:pPr>
      <w:r>
        <w:rPr>
          <w:rFonts w:ascii="arial" w:hAnsi="arial" w:eastAsia="arial" w:cs="arial"/>
          <w:sz w:val="28"/>
          <w:szCs w:val="28"/>
          <w:b w:val="1"/>
          <w:bCs w:val="1"/>
          <w:rtl/>
        </w:rPr>
        <w:t xml:space="preserve">المولى عبد الصاحب بن محمد
</w:t>
      </w:r>
    </w:p>
    <w:p>
      <w:pPr/>
      <w:r>
        <w:rPr/>
        <w:t xml:space="preserve">المولى عبد الصاحب بن محمد جعفر الدواني الفارسي </w:t>
      </w:r>
    </w:p>
    <w:p/>
    <w:p>
      <w:pPr/>
      <w:r>
        <w:rPr/>
        <w:t xml:space="preserve">من تلاميذ الميرزا محمد النيسابوري الهندي الإخباري له تحفة الحبيب كتبه في رد دليل الانسداد وتقوية مشرب الإخباريين كتبه في قزوين بأمر السيد محمد القزويني النجفي فرغ منه سنة 1263 في مجموعة بخطه ذكر فيها أن السيد إبراهيم الأصولي المدرس في الحاير الشريف أقام عشرة دلائل على حرمة العمل بالظن وأنا زدت عليه عشرة أخرى.</w:t>
      </w:r>
    </w:p>
    <w:p>
      <w:pPr>
        <w:jc w:val="start"/>
        <w:bidi/>
      </w:pPr>
      <w:r>
        <w:rPr>
          <w:sz w:val="24"/>
          <w:szCs w:val="24"/>
          <w:b w:val="1"/>
          <w:bCs w:val="1"/>
          <w:rtl/>
        </w:rPr>
        <w:t xml:space="preserve">
أعيان الشيعة،(دار التعارف للمطبوعات - بيروت،1983،ط 1،ج 8،ص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2026-06-15T17:27:23+03:00</dcterms:created>
  <dcterms:modified xsi:type="dcterms:W3CDTF">2026-06-15T17:27:23+03:00</dcterms:modified>
</cp:coreProperties>
</file>

<file path=docProps/custom.xml><?xml version="1.0" encoding="utf-8"?>
<Properties xmlns="http://schemas.openxmlformats.org/officeDocument/2006/custom-properties" xmlns:vt="http://schemas.openxmlformats.org/officeDocument/2006/docPropsVTypes"/>
</file>