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عبد الرحيم ابن آتا جعفر ابن المولى محمد باقر
</w:t>
      </w:r>
    </w:p>
    <w:p>
      <w:pPr>
        <w:jc w:val="start"/>
        <w:bidi/>
      </w:pPr>
      <w:r>
        <w:rPr>
          <w:rFonts w:ascii="arial" w:hAnsi="arial" w:eastAsia="arial" w:cs="arial"/>
          <w:sz w:val="28"/>
          <w:szCs w:val="28"/>
          <w:b w:val="1"/>
          <w:bCs w:val="1"/>
          <w:rtl/>
        </w:rPr>
        <w:t xml:space="preserve">الميرزا عبد الرحيم ابن آتا جعفر ابن المولى محمد باقر
</w:t>
      </w:r>
    </w:p>
    <w:p>
      <w:pPr/>
      <w:r>
        <w:rPr/>
        <w:t xml:space="preserve">الميرزا عبد الرحيم ابن آتا جعفر ابن المولى محمد باقر بن محمد مؤمن الخراساني السبزواري</w:t>
      </w:r>
    </w:p>
    <w:p/>
    <w:p>
      <w:pPr/>
      <w:r>
        <w:rPr/>
        <w:t xml:space="preserve">في ذيل أجازة السيد عبد الله بن نور الدين الجزائري كان عالما فقيها اجتمعت به في آذربيجان سنة 1148 وقد ولي قضاء أصبهان ثم اجتمعت به في أعمال قزوين وهو متوجه إلى الحضرة السلطانية سنة 1154 ثم عاد إلى أصبهان وصار شيخ الإسلام إلى أن توفي. </w:t>
      </w:r>
    </w:p>
    <w:p>
      <w:pPr>
        <w:jc w:val="start"/>
        <w:bidi/>
      </w:pPr>
      <w:r>
        <w:rPr>
          <w:sz w:val="24"/>
          <w:szCs w:val="24"/>
          <w:b w:val="1"/>
          <w:bCs w:val="1"/>
          <w:rtl/>
        </w:rPr>
        <w:t xml:space="preserve">
أعيان الشيعة،(دار التعارف للمطبوعات - بيروت،1983،ط 1،ج 7،ص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2026-06-15T16:18:23+03:00</dcterms:created>
  <dcterms:modified xsi:type="dcterms:W3CDTF">2026-06-15T16:18:23+03:00</dcterms:modified>
</cp:coreProperties>
</file>

<file path=docProps/custom.xml><?xml version="1.0" encoding="utf-8"?>
<Properties xmlns="http://schemas.openxmlformats.org/officeDocument/2006/custom-properties" xmlns:vt="http://schemas.openxmlformats.org/officeDocument/2006/docPropsVTypes"/>
</file>