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الرحيم ابن آتا عبد الرحمن الكرمنشاهاني
</w:t>
      </w:r>
    </w:p>
    <w:p>
      <w:pPr>
        <w:jc w:val="start"/>
        <w:bidi/>
      </w:pPr>
      <w:r>
        <w:rPr>
          <w:rFonts w:ascii="arial" w:hAnsi="arial" w:eastAsia="arial" w:cs="arial"/>
          <w:sz w:val="28"/>
          <w:szCs w:val="28"/>
          <w:b w:val="1"/>
          <w:bCs w:val="1"/>
          <w:rtl/>
        </w:rPr>
        <w:t xml:space="preserve">الشيخ عبد الرحيم ابن آتا عبد الرحمن الكرمنشاهاني
</w:t>
      </w:r>
    </w:p>
    <w:p>
      <w:pPr/>
      <w:r>
        <w:rPr/>
        <w:t xml:space="preserve">الشيخ عبد الرحيم ابن آتا عبد الرحمن الكرمنشاهاني ولد في كرمنشاه ذي القعدة سنة 1223 وتوفي في جمادى الأولى سنة 1305 في كرمنشاه. </w:t>
      </w:r>
    </w:p>
    <w:p/>
    <w:p>
      <w:pPr/>
      <w:r>
        <w:rPr/>
        <w:t xml:space="preserve">قرأ على الشيخ حسن ابن الشيخ جعفر صاحب كشف الغطاء وبعد وفاته على صاحب الجواهر وأغلب تلمذته على الشيخ حسن قال في حقه الملا محمد الإيرواني بحر العلم المتلاطم بالفضائل أمواجه وفحل الفضل الناتجة لديه أفراده وأزواجه طود المعارف الراسخ ’’اه’’ يروي بالإجازة عن صاحب الجواهر ويروي أيضا عن الشيخ علي ابن الشيخ محمد ابن صاحب الجواهر عن جده صاحب الجواهر ويروي بالإجازة عن السيد علي صاحب البرهان القاطع عن شيخه صاحب الجواهر عن مشايخه. </w:t>
      </w:r>
    </w:p>
    <w:p/>
    <w:p>
      <w:pPr/>
      <w:r>
        <w:rPr/>
        <w:t xml:space="preserve">له من المؤلفات لمعات الأنوار في فقه أهل البيت الأطهار رأينا منه ثلاث مجلدات في العبادات والمعاملات عند ولده الشيخ هادي في كرمنشاه وله شرح على منظومة الطباطبائي سماء كشف الأسرار ورفع الأستار رأينا منه خمس مجلدات عند ولده المذكور وله عدة رسائل أخرى له شرح منظومة السيد مهدي القزويني في الأصول شرحا وافيا. </w:t>
      </w:r>
    </w:p>
    <w:p/>
    <w:p>
      <w:pPr/>
      <w:r>
        <w:rPr/>
        <w:t xml:space="preserve">وله رسالة في صلح المطلقة رجعيا عن حق رجوع الزوج وفي رجوع المختلفة بالبذل بعد تزوج الخالع بأختها أو بالخامسة وفي أنه هل يجوز تزوج أخت المتمتع بها بعد انقضاء مدتها في أثناء العدة ورسالة في كيفية زيارة العاشوراء وله كتاب دقائق الأصول في مجلد. </w:t>
      </w:r>
    </w:p>
    <w:p>
      <w:pPr>
        <w:jc w:val="start"/>
        <w:bidi/>
      </w:pPr>
      <w:r>
        <w:rPr>
          <w:sz w:val="24"/>
          <w:szCs w:val="24"/>
          <w:b w:val="1"/>
          <w:bCs w:val="1"/>
          <w:rtl/>
        </w:rPr>
        <w:t xml:space="preserve">
أعيان الشيعة،(دار التعارف للمطبوعات - بيروت،1983،ط 1،ج 7،ص 466)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2026-06-15T16:03:07+03:00</dcterms:created>
  <dcterms:modified xsi:type="dcterms:W3CDTF">2026-06-15T16:03:07+03:00</dcterms:modified>
</cp:coreProperties>
</file>

<file path=docProps/custom.xml><?xml version="1.0" encoding="utf-8"?>
<Properties xmlns="http://schemas.openxmlformats.org/officeDocument/2006/custom-properties" xmlns:vt="http://schemas.openxmlformats.org/officeDocument/2006/docPropsVTypes"/>
</file>