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الخير الخيواني
</w:t>
      </w:r>
    </w:p>
    <w:p>
      <w:pPr>
        <w:jc w:val="start"/>
        <w:bidi/>
      </w:pPr>
      <w:r>
        <w:rPr>
          <w:rFonts w:ascii="arial" w:hAnsi="arial" w:eastAsia="arial" w:cs="arial"/>
          <w:sz w:val="28"/>
          <w:szCs w:val="28"/>
          <w:b w:val="1"/>
          <w:bCs w:val="1"/>
          <w:rtl/>
        </w:rPr>
        <w:t xml:space="preserve">عبد الخير الخيواني
</w:t>
      </w:r>
    </w:p>
    <w:p>
      <w:pPr/>
      <w:r>
        <w:rPr/>
        <w:t xml:space="preserve">عبد الخير الخيواني قال لأبي موسى بالكوفة حين أرسل أمير المؤمنين عليه السلام ولده الحسن عليه السلام وعمار بن ياسر يستنفران أهلها يوم الجمل فجعل أبو موسى الأشعري يثبطهم: يا أبا موسى هل بايع طلحة والزبير عليا قال: نعم قال: هل أحدث علي ما يحل به نقض بيعته قال: لا أ دري قال: لا دريت نحن نترك حتى تدري هل تعلم أحدا خارجا من هذه الفتنة إنما الناس أربع فرق علي بظهر الكوفة وطلحة والزبير بالبصرة ومعاوية بالشام وفرقة بالحجاز لا غناء بها ولا يقاتل بها عدو قال أبو موسى: أولئك خير الناس وهي فتنة فقال الخير: غلب عليك غشك يا أبا موسى. </w:t>
      </w:r>
    </w:p>
    <w:p>
      <w:pPr>
        <w:jc w:val="start"/>
        <w:bidi/>
      </w:pPr>
      <w:r>
        <w:rPr>
          <w:sz w:val="24"/>
          <w:szCs w:val="24"/>
          <w:b w:val="1"/>
          <w:bCs w:val="1"/>
          <w:rtl/>
        </w:rPr>
        <w:t xml:space="preserve">
أعيان الشيعة،(دار التعارف للمطبوعات - بيروت،1983،ط 1،ج 7،ص 458)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2026-06-15T15:02:40+03:00</dcterms:created>
  <dcterms:modified xsi:type="dcterms:W3CDTF">2026-06-15T15:02:40+03:00</dcterms:modified>
</cp:coreProperties>
</file>

<file path=docProps/custom.xml><?xml version="1.0" encoding="utf-8"?>
<Properties xmlns="http://schemas.openxmlformats.org/officeDocument/2006/custom-properties" xmlns:vt="http://schemas.openxmlformats.org/officeDocument/2006/docPropsVTypes"/>
</file>