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عبد الحي الرضوي
</w:t>
      </w:r>
    </w:p>
    <w:p>
      <w:pPr>
        <w:jc w:val="start"/>
        <w:bidi/>
      </w:pPr>
      <w:r>
        <w:rPr>
          <w:rFonts w:ascii="arial" w:hAnsi="arial" w:eastAsia="arial" w:cs="arial"/>
          <w:sz w:val="28"/>
          <w:szCs w:val="28"/>
          <w:b w:val="1"/>
          <w:bCs w:val="1"/>
          <w:rtl/>
        </w:rPr>
        <w:t xml:space="preserve">السيد ميرزا عبد الحي الرضوي
</w:t>
      </w:r>
    </w:p>
    <w:p>
      <w:pPr/>
      <w:r>
        <w:rPr/>
        <w:t xml:space="preserve">السيد ميرزا عبد الحي الرضوي الملقب بالنواب ابن ميرزا محمد علي الوكيل ابن ميرزا محمد رضا الناظر ابن ميرزا بديع الرضوي المشهدي وباقي النسب في محمد بديع. </w:t>
      </w:r>
    </w:p>
    <w:p/>
    <w:p>
      <w:pPr/>
      <w:r>
        <w:rPr/>
        <w:t xml:space="preserve">قال في الشجرة الطيبة: </w:t>
      </w:r>
    </w:p>
    <w:p/>
    <w:p>
      <w:pPr/>
      <w:r>
        <w:rPr/>
        <w:t xml:space="preserve">السيد السند الجليل والركن المعتمد النبيل كان عصره من الأعيان العظام والأشراف الكرام هاجر من خراسان إلى يزد وتوطنها فصار فيها رئيسا مطاعا وولد له خمسة أولاد وهم النواب الميرزا السيد حسين النواب الميرزا السيد حسن. </w:t>
      </w:r>
    </w:p>
    <w:p/>
    <w:p>
      <w:pPr/>
      <w:r>
        <w:rPr/>
        <w:t xml:space="preserve">أما ميرزا محمد صادق فهو السيد السند والركن المعتمد مطلع أنوار الكمال وفي المراتب العلمية فائق على أقرانه وفي جلالة الشأن مشار إليه بالبنان وفي جودة الخط مشهور.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2026-06-15T14:50:15+03:00</dcterms:created>
  <dcterms:modified xsi:type="dcterms:W3CDTF">2026-06-15T14:50:15+03:00</dcterms:modified>
</cp:coreProperties>
</file>

<file path=docProps/custom.xml><?xml version="1.0" encoding="utf-8"?>
<Properties xmlns="http://schemas.openxmlformats.org/officeDocument/2006/custom-properties" xmlns:vt="http://schemas.openxmlformats.org/officeDocument/2006/docPropsVTypes"/>
</file>