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الحسين البروجردي النجفي
</w:t>
      </w:r>
    </w:p>
    <w:p>
      <w:pPr>
        <w:jc w:val="start"/>
        <w:bidi/>
      </w:pPr>
      <w:r>
        <w:rPr>
          <w:rFonts w:ascii="arial" w:hAnsi="arial" w:eastAsia="arial" w:cs="arial"/>
          <w:sz w:val="28"/>
          <w:szCs w:val="28"/>
          <w:b w:val="1"/>
          <w:bCs w:val="1"/>
          <w:rtl/>
        </w:rPr>
        <w:t xml:space="preserve">السيد عبد الحسين البروجردي النجفي
</w:t>
      </w:r>
    </w:p>
    <w:p>
      <w:pPr/>
      <w:r>
        <w:rPr/>
        <w:t xml:space="preserve">السيد عبد الحسين البروجردي النجفي توفي سنة ألف وثلاثماية ونيف وعشرين. قرأ على الميرزا حبيب الله وميرزا حسين الطهراني له مؤلف في الفقه الاستدلالي مقتصر على الفروع المهمة من أول الطهارة إلى أواسط الصلاة ورسالة في شرح كلام الرضا عليه السلام مع المأمون. </w:t>
      </w:r>
    </w:p>
    <w:p>
      <w:pPr>
        <w:jc w:val="start"/>
        <w:bidi/>
      </w:pPr>
      <w:r>
        <w:rPr>
          <w:sz w:val="24"/>
          <w:szCs w:val="24"/>
          <w:b w:val="1"/>
          <w:bCs w:val="1"/>
          <w:rtl/>
        </w:rPr>
        <w:t xml:space="preserve">
أعيان الشيعة،(دار التعارف للمطبوعات - بيروت،1983،ط 1،ج 7،ص 445)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2026-06-15T15:05:11+03:00</dcterms:created>
  <dcterms:modified xsi:type="dcterms:W3CDTF">2026-06-15T15:05:11+03:00</dcterms:modified>
</cp:coreProperties>
</file>

<file path=docProps/custom.xml><?xml version="1.0" encoding="utf-8"?>
<Properties xmlns="http://schemas.openxmlformats.org/officeDocument/2006/custom-properties" xmlns:vt="http://schemas.openxmlformats.org/officeDocument/2006/docPropsVTypes"/>
</file>