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عباس علي بن محمد الكزازي الكرمانشاهي
</w:t>
      </w:r>
    </w:p>
    <w:p>
      <w:pPr>
        <w:jc w:val="start"/>
        <w:bidi/>
      </w:pPr>
      <w:r>
        <w:rPr>
          <w:rFonts w:ascii="arial" w:hAnsi="arial" w:eastAsia="arial" w:cs="arial"/>
          <w:sz w:val="28"/>
          <w:szCs w:val="28"/>
          <w:b w:val="1"/>
          <w:bCs w:val="1"/>
          <w:rtl/>
        </w:rPr>
        <w:t xml:space="preserve">الشيخ عباس علي بن محمد الكزازي الكرمانشاهي
</w:t>
      </w:r>
    </w:p>
    <w:p>
      <w:pPr/>
      <w:r>
        <w:rPr/>
        <w:t xml:space="preserve">الشيخ عباس علي بن محمد الكزازي الكرمانشاهي له رسالة في الرسائل الفقهية فرغ منها في العشر الأول من الشهر السادس من السنة التاسعة من العشر الثالث من المائة الثالث من الألف الثاني صنفها باسم الشاهزاده محمد علي ميرزا في المسائل الفقهية تتعلق بإعادة عبادة المخالف إذا استبصر. </w:t>
      </w:r>
    </w:p>
    <w:p>
      <w:pPr>
        <w:jc w:val="start"/>
        <w:bidi/>
      </w:pPr>
      <w:r>
        <w:rPr>
          <w:sz w:val="24"/>
          <w:szCs w:val="24"/>
          <w:b w:val="1"/>
          <w:bCs w:val="1"/>
          <w:rtl/>
        </w:rPr>
        <w:t xml:space="preserve">
أعيان الشيعة،(دار التعارف للمطبوعات - بيروت،1983،ط 1،ج 7،ص 425)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2026-06-14T02:13:26+03:00</dcterms:created>
  <dcterms:modified xsi:type="dcterms:W3CDTF">2026-06-14T02:13:26+03:00</dcterms:modified>
</cp:coreProperties>
</file>

<file path=docProps/custom.xml><?xml version="1.0" encoding="utf-8"?>
<Properties xmlns="http://schemas.openxmlformats.org/officeDocument/2006/custom-properties" xmlns:vt="http://schemas.openxmlformats.org/officeDocument/2006/docPropsVTypes"/>
</file>