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عميد الدين أبو الفضل عباس بن محمد بن علي
</w:t>
      </w:r>
    </w:p>
    <w:p>
      <w:pPr>
        <w:jc w:val="start"/>
        <w:bidi/>
      </w:pPr>
      <w:r>
        <w:rPr>
          <w:rFonts w:ascii="arial" w:hAnsi="arial" w:eastAsia="arial" w:cs="arial"/>
          <w:sz w:val="28"/>
          <w:szCs w:val="28"/>
          <w:b w:val="1"/>
          <w:bCs w:val="1"/>
          <w:rtl/>
        </w:rPr>
        <w:t xml:space="preserve">عميد الدين أبو الفضل عباس بن محمد بن علي
</w:t>
      </w:r>
    </w:p>
    <w:p>
      <w:pPr/>
      <w:r>
        <w:rPr/>
        <w:t xml:space="preserve">عميد الدين أبو الفضل عباس بن محمد بن علي ابن إبراهيم الهمذاني الشيرواني</w:t>
      </w:r>
    </w:p>
    <w:p/>
    <w:p>
      <w:pPr/>
      <w:r>
        <w:rPr/>
        <w:t xml:space="preserve">هو من بيت الوزارة والسياسة جده إبراهيم خان كان وزير نادر شاه فلما كبر ترك المنصب وجاور في النجف مشتغلا بالعبادة فانتقل المنصب إلى حفيده الميرزا أحمد خان والد الميرزا أحمد خان والد الميرزا عباس صاحب الجوهر الوقاد المتوفى سنة 1256 له جواهر خانه فارسي وله تاريخ دكن وآيينه محبوب. </w:t>
      </w:r>
    </w:p>
    <w:p>
      <w:pPr>
        <w:jc w:val="start"/>
        <w:bidi/>
      </w:pPr>
      <w:r>
        <w:rPr>
          <w:sz w:val="24"/>
          <w:szCs w:val="24"/>
          <w:b w:val="1"/>
          <w:bCs w:val="1"/>
          <w:rtl/>
        </w:rPr>
        <w:t xml:space="preserve">
أعيان الشيعة،(دار التعارف للمطبوعات - بيروت،1983،ط 1،ج 7،ص 411)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2026-06-14T02:11:42+03:00</dcterms:created>
  <dcterms:modified xsi:type="dcterms:W3CDTF">2026-06-14T02:11:42+03:00</dcterms:modified>
</cp:coreProperties>
</file>

<file path=docProps/custom.xml><?xml version="1.0" encoding="utf-8"?>
<Properties xmlns="http://schemas.openxmlformats.org/officeDocument/2006/custom-properties" xmlns:vt="http://schemas.openxmlformats.org/officeDocument/2006/docPropsVTypes"/>
</file>