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طوفان المازندراني الهزار جريبي
</w:t>
      </w:r>
    </w:p>
    <w:p>
      <w:pPr>
        <w:jc w:val="start"/>
        <w:bidi/>
      </w:pPr>
      <w:r>
        <w:rPr>
          <w:rFonts w:ascii="arial" w:hAnsi="arial" w:eastAsia="arial" w:cs="arial"/>
          <w:sz w:val="28"/>
          <w:szCs w:val="28"/>
          <w:b w:val="1"/>
          <w:bCs w:val="1"/>
          <w:rtl/>
        </w:rPr>
        <w:t xml:space="preserve">الميرزا طوفان المازندراني الهزار جريبي
</w:t>
      </w:r>
    </w:p>
    <w:p>
      <w:pPr/>
      <w:r>
        <w:rPr/>
        <w:t xml:space="preserve">الميرزا طوفان المازندراني الهزار جريبي النجفي الشاعر المشهور</w:t>
      </w:r>
    </w:p>
    <w:p/>
    <w:p>
      <w:pPr/>
      <w:r>
        <w:rPr/>
        <w:t xml:space="preserve">توفي في النجف سنة 1190. </w:t>
      </w:r>
    </w:p>
    <w:p/>
    <w:p>
      <w:pPr/>
      <w:r>
        <w:rPr/>
        <w:t xml:space="preserve">من النوادر في حضور البديهة وسرعة الخاطر كان اختص أول أمره بالأمير هداية الله خان في مازندران فاتفق أنه قدم بعض الشعراء فهجاه وخرج إلى النجف وجاور فيها واتصل بعلمائها وغسل هناك جميع ما له من الهجاء. </w:t>
      </w:r>
    </w:p>
    <w:p>
      <w:pPr>
        <w:jc w:val="start"/>
        <w:bidi/>
      </w:pPr>
      <w:r>
        <w:rPr>
          <w:sz w:val="24"/>
          <w:szCs w:val="24"/>
          <w:b w:val="1"/>
          <w:bCs w:val="1"/>
          <w:rtl/>
        </w:rPr>
        <w:t xml:space="preserve">
أعيان الشيعة،(دار التعارف للمطبوعات - بيروت،1983،ط 1،ج 7،ص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2026-06-14T00:55:03+03:00</dcterms:created>
  <dcterms:modified xsi:type="dcterms:W3CDTF">2026-06-14T00:55:03+03:00</dcterms:modified>
</cp:coreProperties>
</file>

<file path=docProps/custom.xml><?xml version="1.0" encoding="utf-8"?>
<Properties xmlns="http://schemas.openxmlformats.org/officeDocument/2006/custom-properties" xmlns:vt="http://schemas.openxmlformats.org/officeDocument/2006/docPropsVTypes"/>
</file>