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الصلتان العبدي
</w:t>
      </w:r>
    </w:p>
    <w:p>
      <w:pPr/>
      <w:r>
        <w:rPr/>
        <w:t xml:space="preserve">الصلتان العبدي قال نصر بن مزاحم في كتاب صفين لما أجتمع الحكماء بدومة الجندة بعث الصلتان العبدي وهو بالكوفة بأبيات إلى دومة الجندل: </w:t>
      </w:r>
    </w:p>
    <w:p/>
    <w:p>
      <w:pPr>
        <w:jc w:val="center"/>
      </w:pPr>
      <w:r>
        <w:rPr>
          <w:color w:val="ff0000"/>
        </w:rPr>
        <w:t xml:space="preserve">لعمري لا ألفي لدهر خالعا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عليا بقول الأشعري ولا عمرو</w:t>
      </w:r>
    </w:p>
    <w:p/>
    <w:p>
      <w:pPr>
        <w:jc w:val="center"/>
      </w:pPr>
      <w:r>
        <w:rPr>
          <w:color w:val="ff0000"/>
        </w:rPr>
        <w:t xml:space="preserve">فإن يحكما بالحق نقبله منهما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أثرناها كراغية البكر</w:t>
      </w:r>
    </w:p>
    <w:p/>
    <w:p>
      <w:pPr>
        <w:jc w:val="center"/>
      </w:pPr>
      <w:r>
        <w:rPr>
          <w:color w:val="ff0000"/>
        </w:rPr>
        <w:t xml:space="preserve">ولسنا نقول الدهر ذاك إليهما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ذلك لو قلناه قاصمة الظهر</w:t>
      </w:r>
    </w:p>
    <w:p/>
    <w:p>
      <w:pPr>
        <w:jc w:val="center"/>
      </w:pPr>
      <w:r>
        <w:rPr>
          <w:color w:val="ff0000"/>
        </w:rPr>
        <w:t xml:space="preserve">ولكن نقول الأمر بالحق كله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وفي كفيه عاقبة الأمر</w:t>
      </w:r>
    </w:p>
    <w:p/>
    <w:p>
      <w:pPr>
        <w:jc w:val="center"/>
      </w:pPr>
      <w:r>
        <w:rPr>
          <w:color w:val="ff0000"/>
        </w:rPr>
        <w:t xml:space="preserve">وما اليوم إلا مثل أمس وإننا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لفي زهق الضحضاح أولجه البحر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2026-06-13T23:01:57+03:00</dcterms:created>
  <dcterms:modified xsi:type="dcterms:W3CDTF">2026-06-13T23:01:57+03:00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