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صفي الدين ابن الشيخ فخر الدين الطريحي النجفي
</w:t>
      </w:r>
    </w:p>
    <w:p>
      <w:pPr>
        <w:jc w:val="start"/>
        <w:bidi/>
      </w:pPr>
      <w:r>
        <w:rPr>
          <w:rFonts w:ascii="arial" w:hAnsi="arial" w:eastAsia="arial" w:cs="arial"/>
          <w:sz w:val="28"/>
          <w:szCs w:val="28"/>
          <w:b w:val="1"/>
          <w:bCs w:val="1"/>
          <w:rtl/>
        </w:rPr>
        <w:t xml:space="preserve">الشيخ صفي الدين ابن الشيخ فخر الدين الطريحي النجفي
</w:t>
      </w:r>
    </w:p>
    <w:p>
      <w:pPr/>
      <w:r>
        <w:rPr/>
        <w:t xml:space="preserve">الشيخ صفي الدين ابن الشيخ فخر الدين الطريحي النجفي كان عالما فاضلا أدبيا مؤلفا مدرسا ذكره السيد عبد الله ابن نور الدين بن نعمة الله الجزائري في إجازته الكبيرة ووصفه بالشيخ الفاضل الإمام وقال إنه يروي عن أبيه فخر الدين الطريحي ’’اه’’ وكان من الفقهاء المعروفين وله تآليف منها شروح على كتب أبيه ومستدرك على مجمع البحرين وكتاب مطالع النظر في شرح الباب الحادي عشر وهداية المسترشدين في در الطبيعيين أجازه والده بإجازة موجودة على ظهر نسختين الفقيهة بخط جده محمد علي بن طريح تاريخها يوم الجمعة من جمادى الثانية 1072. </w:t>
      </w:r>
    </w:p>
    <w:p/>
    <w:p>
      <w:pPr/>
      <w:r>
        <w:rPr/>
        <w:t xml:space="preserve">ويروي عنه بالإجازة الشيخ محمد حسين التبريزي وتاريخ الإجازة 1090.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2026-06-15T14:53:48+03:00</dcterms:created>
  <dcterms:modified xsi:type="dcterms:W3CDTF">2026-06-15T14:53:48+03:00</dcterms:modified>
</cp:coreProperties>
</file>

<file path=docProps/custom.xml><?xml version="1.0" encoding="utf-8"?>
<Properties xmlns="http://schemas.openxmlformats.org/officeDocument/2006/custom-properties" xmlns:vt="http://schemas.openxmlformats.org/officeDocument/2006/docPropsVTypes"/>
</file>