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ابن الشيخ مهدي ابن الخطاط
</w:t>
      </w:r>
    </w:p>
    <w:p>
      <w:pPr>
        <w:jc w:val="start"/>
        <w:bidi/>
      </w:pPr>
      <w:r>
        <w:rPr>
          <w:rFonts w:ascii="arial" w:hAnsi="arial" w:eastAsia="arial" w:cs="arial"/>
          <w:sz w:val="28"/>
          <w:szCs w:val="28"/>
          <w:b w:val="1"/>
          <w:bCs w:val="1"/>
          <w:rtl/>
        </w:rPr>
        <w:t xml:space="preserve">الشيخ صالح ابن الشيخ مهدي ابن الخطاط
</w:t>
      </w:r>
    </w:p>
    <w:p>
      <w:pPr/>
      <w:r>
        <w:rPr/>
        <w:t xml:space="preserve">الشيخ صالح ابن الشيخ مهدي ابن الخطاط المشهور بآقا محمد جعفر ابن الأمير فضل علي خان </w:t>
      </w:r>
    </w:p>
    <w:p/>
    <w:p>
      <w:pPr/>
      <w:r>
        <w:rPr/>
        <w:t xml:space="preserve">المشهور بكدا علي بك النوري الحائري</w:t>
      </w:r>
    </w:p>
    <w:p/>
    <w:p>
      <w:pPr/>
      <w:r>
        <w:rPr/>
        <w:t xml:space="preserve">توفي بكربلا في ذي الحجة سنة 1288 بعدما ناهز المائة وأرخ وفاته الميرزا محمد الهمداني المعروف بإمام الحرمين بقوله من قصيدة رثاه بها: (أرخ هو الحي الذي لا يموت سنة 1288).</w:t>
      </w:r>
    </w:p>
    <w:p/>
    <w:p>
      <w:pPr/>
      <w:r>
        <w:rPr/>
        <w:t xml:space="preserve">كان عالما فاضلا فقيها ثقة صالحا مشهورا بذلك عند الحائريين وله قبول عندهم وإمامة بهم وهو من مشاهير تلاميذ السيد إبراهيم القزويني الحائري صاحب الضوابط وكان مرجعا للعرب في الحائر لكنه يفتي برأي الشيخ مرتضى الأنصاري تورعا واحتياطا مع أنه لا ينكر عليه لو ادعى الاجتهاد كما يقوله بعض المطلعين على أحواله وغلب عليه النسك والعبادة وعرف بالزهد والتقى والورع حتى صار محل ثقة العامة والخاصة وصار الإمام الوحيد في الحائر يصلي خلفه جماعة زهاء خمسة عشر ألفا فتملأ الصحن الشريف الحسيني من جميع أطرافه تقريبا فيقف هو في الزاوية الجنوبية الغربية عند باب الزينبية وتنتهي الجماعة في الزاوية الشمالية الشرقية عند باب مدرسة حسن خان ولم يتفق حتى الآن لأحد مثل ذلك في جميع الأزمان والأعصار التي مرت على كربلاء وتعاقبت فيها الألوف من أئمة الجماعة في الصحن الشريف الحسيني. وكان جده كذا علي بك من خوانين إيران ومن أكابر المثرين في برو جرد وسلطان آباد ومن قبيلة (جوذرزي ومن المنسوبين إلى آل نوبخت وهاجر من وطنه إلى الحائر بعد الدولة الصفوية وتبدل السياسة الأفشارية وتزوج أخت الميرزا صالح الشهرستاني ومات في كربلاء وأعقب عدة أولاد أكبرهم الشيخ مهدي القائم مقام أبيه.</w:t>
      </w:r>
    </w:p>
    <w:p>
      <w:pPr>
        <w:jc w:val="start"/>
        <w:bidi/>
      </w:pPr>
      <w:r>
        <w:rPr>
          <w:sz w:val="24"/>
          <w:szCs w:val="24"/>
          <w:b w:val="1"/>
          <w:bCs w:val="1"/>
          <w:rtl/>
        </w:rPr>
        <w:t xml:space="preserve">
أعيان الشيعة،(دار التعارف للمطبوعات - بيروت،1983،ط 1،ج 7،ص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2026-06-13T19:50:21+03:00</dcterms:created>
  <dcterms:modified xsi:type="dcterms:W3CDTF">2026-06-13T19:50:21+03:00</dcterms:modified>
</cp:coreProperties>
</file>

<file path=docProps/custom.xml><?xml version="1.0" encoding="utf-8"?>
<Properties xmlns="http://schemas.openxmlformats.org/officeDocument/2006/custom-properties" xmlns:vt="http://schemas.openxmlformats.org/officeDocument/2006/docPropsVTypes"/>
</file>