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صالح بن محمد البرغاني القزويني الحائري
</w:t>
      </w:r>
    </w:p>
    <w:p>
      <w:pPr>
        <w:jc w:val="start"/>
        <w:bidi/>
      </w:pPr>
      <w:r>
        <w:rPr>
          <w:rFonts w:ascii="arial" w:hAnsi="arial" w:eastAsia="arial" w:cs="arial"/>
          <w:sz w:val="28"/>
          <w:szCs w:val="28"/>
          <w:b w:val="1"/>
          <w:bCs w:val="1"/>
          <w:rtl/>
        </w:rPr>
        <w:t xml:space="preserve">صالح بن محمد البرغاني القزويني الحائري
</w:t>
      </w:r>
    </w:p>
    <w:p>
      <w:pPr/>
      <w:r>
        <w:rPr/>
        <w:t xml:space="preserve">صالح بن محمد البرغاني القزويني الحائري توفي حدود سنة 1275 بكربلاء فجأة.</w:t>
      </w:r>
    </w:p>
    <w:p/>
    <w:p>
      <w:pPr/>
      <w:r>
        <w:rPr/>
        <w:t xml:space="preserve">عالم فاضل مفسر؛ له:</w:t>
      </w:r>
    </w:p>
    <w:p/>
    <w:p>
      <w:pPr/>
      <w:r>
        <w:rPr/>
        <w:t xml:space="preserve">1) كتاب بحر العرفان ومعدن الإيمان في تفسير القرآن في 17 مجلدا استقصى فيها الأحاديث المروية عن الأئمة الأطهار عليهم السلام في التفسير وجمعها من كتب الأصحاب وغيرها وهو مجهود كبير فرغ من المجلد السابع عشر منه في رجب سنة 1266 وألحق بآخره في بعض نسخه جملة من الآيات النازلة في شأن الأئمة عليهم السلام وتفسيرها.</w:t>
      </w:r>
    </w:p>
    <w:p/>
    <w:p>
      <w:pPr/>
      <w:r>
        <w:rPr/>
        <w:t xml:space="preserve">2) التفسير الصغير في مجلد واحد.</w:t>
      </w:r>
    </w:p>
    <w:p/>
    <w:p>
      <w:pPr/>
      <w:r>
        <w:rPr/>
        <w:t xml:space="preserve">3) تفسيره الوسيط في تسع مجلدات.</w:t>
      </w:r>
    </w:p>
    <w:p/>
    <w:p>
      <w:pPr/>
      <w:r>
        <w:rPr/>
        <w:t xml:space="preserve">4) أعمال السنة فارسي.</w:t>
      </w:r>
    </w:p>
    <w:p/>
    <w:p>
      <w:pPr/>
      <w:r>
        <w:rPr/>
        <w:t xml:space="preserve">5) أعمال سماه ثلاثة أشهر فارسي وفي الذريعة لعله نصف أعمال السنة المذكور آنفا.</w:t>
      </w:r>
    </w:p>
    <w:p/>
    <w:p>
      <w:pPr/>
      <w:r>
        <w:rPr/>
        <w:t xml:space="preserve">6) غنيمة المعاد في شرح الإرشاد للعلامة.</w:t>
      </w:r>
    </w:p>
    <w:p/>
    <w:p>
      <w:pPr/>
      <w:r>
        <w:rPr/>
        <w:t xml:space="preserve">7) مسالك الراشدين في شرح الإرشاد أيضا أصغر من سابقه في ثلاث مجلدات.</w:t>
      </w:r>
    </w:p>
    <w:p>
      <w:pPr>
        <w:jc w:val="start"/>
        <w:bidi/>
      </w:pPr>
      <w:r>
        <w:rPr>
          <w:sz w:val="24"/>
          <w:szCs w:val="24"/>
          <w:b w:val="1"/>
          <w:bCs w:val="1"/>
          <w:rtl/>
        </w:rPr>
        <w:t xml:space="preserve">
أعيان الشيعة،(دار التعارف للمطبوعات - بيروت،1983،ط 1،ج 7،ص 377)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2026-06-10T07:58:45+03:00</dcterms:created>
  <dcterms:modified xsi:type="dcterms:W3CDTF">2026-06-10T07:58:45+03:00</dcterms:modified>
</cp:coreProperties>
</file>

<file path=docProps/custom.xml><?xml version="1.0" encoding="utf-8"?>
<Properties xmlns="http://schemas.openxmlformats.org/officeDocument/2006/custom-properties" xmlns:vt="http://schemas.openxmlformats.org/officeDocument/2006/docPropsVTypes"/>
</file>