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شفيع ابن السيد علي أكبر
</w:t>
      </w:r>
    </w:p>
    <w:p>
      <w:pPr>
        <w:jc w:val="start"/>
        <w:bidi/>
      </w:pPr>
      <w:r>
        <w:rPr>
          <w:rFonts w:ascii="arial" w:hAnsi="arial" w:eastAsia="arial" w:cs="arial"/>
          <w:sz w:val="28"/>
          <w:szCs w:val="28"/>
          <w:b w:val="1"/>
          <w:bCs w:val="1"/>
          <w:rtl/>
        </w:rPr>
        <w:t xml:space="preserve">السيد شفيع ابن السيد علي أكبر
</w:t>
      </w:r>
    </w:p>
    <w:p>
      <w:pPr/>
      <w:r>
        <w:rPr/>
        <w:t xml:space="preserve">السيد شفيع ابن السيد علي أكبر الموسوي الجابلقي نزيل بروجرد</w:t>
      </w:r>
    </w:p>
    <w:p/>
    <w:p>
      <w:pPr/>
      <w:r>
        <w:rPr/>
        <w:t xml:space="preserve">توفي سنة 1280.</w:t>
      </w:r>
    </w:p>
    <w:p/>
    <w:p>
      <w:pPr/>
      <w:r>
        <w:rPr/>
        <w:t xml:space="preserve">في الذريعة ينتهي نسبه إلى السيد نظام الدين أحمد البطن السادس من ولد الإمام الكاظم عليه السلام ولنظام الدين مزار مشهور في المشهد المعروف بإمام زاده قاسم قرب بروجرد كان عالما فقيها أصوليا من مشاهير تلاميذ شريف العلماء المازندراني في الأصول ومن تلاميذ المولى أحمد النراقي في الفقه وكان مقدما في علمي الحديث والرجال وعلم الأصول ومدرسأ في بلدة بروجرد معظما عند أهل عصره مرجعا يروي عن السيد محمد باقر الطباطبائي والمولى أحمد النراقي له من المؤلفات:</w:t>
      </w:r>
    </w:p>
    <w:p/>
    <w:p>
      <w:pPr/>
      <w:r>
        <w:rPr/>
        <w:t xml:space="preserve">1- الأصول الكربلائية ويقال إنه تقرير بحث أستاذه شريف العلماء وتممه بإلحاق بعض المبادئ اللغوية ولده الأكبر المتوفى بعده بسنتين سنة 1282 وسماه القواعد الشريفية مطبوع.</w:t>
      </w:r>
    </w:p>
    <w:p/>
    <w:p>
      <w:pPr/>
      <w:r>
        <w:rPr/>
        <w:t xml:space="preserve">2- الروضة البهية في الطرق الشفيعية كتاب في الإجازة مطبوع على حذو لؤلؤة البحرين وهو إجازة لولده السيد علي أكبر.</w:t>
      </w:r>
    </w:p>
    <w:p/>
    <w:p>
      <w:pPr/>
      <w:r>
        <w:rPr/>
        <w:t xml:space="preserve">3- مناهج الأحكام في مسائل الحلال والحرام برز منه بعض العبادات.</w:t>
      </w:r>
    </w:p>
    <w:p/>
    <w:p>
      <w:pPr/>
      <w:r>
        <w:rPr/>
        <w:t xml:space="preserve">4- شرح تجارة الروضة.</w:t>
      </w:r>
    </w:p>
    <w:p/>
    <w:p>
      <w:pPr/>
      <w:r>
        <w:rPr/>
        <w:t xml:space="preserve">5- مرشد العوام رسالة في الصلاة.</w:t>
      </w:r>
    </w:p>
    <w:p/>
    <w:p>
      <w:pPr/>
      <w:r>
        <w:rPr/>
        <w:t xml:space="preserve">6- حواشي مناسك الحج.</w:t>
      </w:r>
    </w:p>
    <w:p>
      <w:pPr>
        <w:jc w:val="start"/>
        <w:bidi/>
      </w:pPr>
      <w:r>
        <w:rPr>
          <w:sz w:val="24"/>
          <w:szCs w:val="24"/>
          <w:b w:val="1"/>
          <w:bCs w:val="1"/>
          <w:rtl/>
        </w:rPr>
        <w:t xml:space="preserve">
أعيان الشيعة،(دار التعارف للمطبوعات - بيروت،1983،ط 1،ج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2026-05-16T09:20:42+03:00</dcterms:created>
  <dcterms:modified xsi:type="dcterms:W3CDTF">2026-05-16T09:20:42+03:00</dcterms:modified>
</cp:coreProperties>
</file>

<file path=docProps/custom.xml><?xml version="1.0" encoding="utf-8"?>
<Properties xmlns="http://schemas.openxmlformats.org/officeDocument/2006/custom-properties" xmlns:vt="http://schemas.openxmlformats.org/officeDocument/2006/docPropsVTypes"/>
</file>