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المراكي
</w:t>
      </w:r>
    </w:p>
    <w:p>
      <w:pPr>
        <w:jc w:val="start"/>
        <w:bidi/>
      </w:pPr>
      <w:r>
        <w:rPr>
          <w:rFonts w:ascii="arial" w:hAnsi="arial" w:eastAsia="arial" w:cs="arial"/>
          <w:sz w:val="28"/>
          <w:szCs w:val="28"/>
          <w:b w:val="1"/>
          <w:bCs w:val="1"/>
          <w:rtl/>
        </w:rPr>
        <w:t xml:space="preserve">شرف الدين المراكي
</w:t>
      </w:r>
    </w:p>
    <w:p>
      <w:pPr/>
      <w:r>
        <w:rPr/>
        <w:t xml:space="preserve">شرف الدين المراكي توفي سنة 788.</w:t>
      </w:r>
    </w:p>
    <w:p/>
    <w:p>
      <w:pPr/>
      <w:r>
        <w:rPr/>
        <w:t xml:space="preserve">كان إماما في المعقول والمنقول والفروع والأصول وكان إماميا ذكره السيوطي في بغية الوعاة وقال التقي ابن الكرماني كان فاضلا في العلوم العقلية والعربية ويقرئ الكشاف والمنهاج في الأصول بارعا في الطب والنجوم هكذا ذكره بعض المعاصرين ولم أجده في حرف الشين من بغية الوعاة المطبوع ولعله في غير حرف الشين وشرف الدين لقب.</w:t>
      </w:r>
    </w:p>
    <w:p>
      <w:pPr>
        <w:jc w:val="start"/>
        <w:bidi/>
      </w:pPr>
      <w:r>
        <w:rPr>
          <w:sz w:val="24"/>
          <w:szCs w:val="24"/>
          <w:b w:val="1"/>
          <w:bCs w:val="1"/>
          <w:rtl/>
        </w:rPr>
        <w:t xml:space="preserve">
أعيان الشيعة،(دار التعارف للمطبوعات - بيروت،1983،ط 1،ج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2026-05-16T08:31:38+03:00</dcterms:created>
  <dcterms:modified xsi:type="dcterms:W3CDTF">2026-05-16T08:31:38+03:00</dcterms:modified>
</cp:coreProperties>
</file>

<file path=docProps/custom.xml><?xml version="1.0" encoding="utf-8"?>
<Properties xmlns="http://schemas.openxmlformats.org/officeDocument/2006/custom-properties" xmlns:vt="http://schemas.openxmlformats.org/officeDocument/2006/docPropsVTypes"/>
</file>