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شرف الدين الشيفنكي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شرف الدين الشيفنكي
</w:t>
      </w:r>
    </w:p>
    <w:p>
      <w:pPr/>
      <w:r>
        <w:rPr/>
        <w:t xml:space="preserve">الشيخ شرف الدين الشيفنكي تلميذ قوام الدين الكباري</w:t>
      </w:r>
    </w:p>
    <w:p/>
    <w:p>
      <w:pPr/>
      <w:r>
        <w:rPr/>
        <w:t xml:space="preserve">توفي سنة 907.</w:t>
      </w:r>
    </w:p>
    <w:p/>
    <w:p>
      <w:pPr/>
      <w:r>
        <w:rPr/>
        <w:t xml:space="preserve">عالم فاضل ذكره صاحب الرياض وقال له شرح المحرر لاين فهد ثم قال: إن ما يعد في كتب الشرح كتاب ابن فهد فهو المحرر لا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2026-05-16T08:34:13+03:00</dcterms:created>
  <dcterms:modified xsi:type="dcterms:W3CDTF">2026-05-16T08:34:13+03:00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