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محمد بن عبد الرحمن الأنصاري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محمد بن عبد الرحمن الأنصاري المدني
</w:t>
      </w:r>
    </w:p>
    <w:p>
      <w:pPr/>
      <w:r>
        <w:rPr/>
        <w:t xml:space="preserve">سعيد بن محمد بن عبد الرحمن الأنصاري المدني ذكره الشيخ في رجاله في أصحاب الصادق عليه السلام وقال أسند عنه وقد وقع في طريق الصدوق في الباب الأخير من الفقيه.</w:t>
      </w:r>
    </w:p>
    <w:p/>
    <w:p>
      <w:pPr/>
      <w:r>
        <w:rPr/>
        <w:t xml:space="preserve">التمييز</w:t>
      </w:r>
    </w:p>
    <w:p/>
    <w:p>
      <w:pPr/>
      <w:r>
        <w:rPr/>
        <w:t xml:space="preserve">عن جامع الرواة أنه نقل رواية القاسم بن محمد وجعفر ابن محمد بن سهل وعلي بن محمد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2026-05-15T23:38:21+03:00</dcterms:created>
  <dcterms:modified xsi:type="dcterms:W3CDTF">2026-05-15T23:38:21+03:00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