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بن عمران ويقال سعد بن فيروز
</w:t>
      </w:r>
    </w:p>
    <w:p>
      <w:pPr>
        <w:jc w:val="start"/>
        <w:bidi/>
      </w:pPr>
      <w:r>
        <w:rPr>
          <w:rFonts w:ascii="arial" w:hAnsi="arial" w:eastAsia="arial" w:cs="arial"/>
          <w:sz w:val="28"/>
          <w:szCs w:val="28"/>
          <w:b w:val="1"/>
          <w:bCs w:val="1"/>
          <w:rtl/>
        </w:rPr>
        <w:t xml:space="preserve">سعد بن عمران ويقال سعد بن فيروز
</w:t>
      </w:r>
    </w:p>
    <w:p>
      <w:pPr/>
      <w:r>
        <w:rPr/>
        <w:t xml:space="preserve">سعد بن عمران ويقال سعد بن فيروز ذكره الشيخ في رجاله في أصحاب علي عليه السلام وقال الكوفي مولى كان خرج يوم الجماجم مع ابن الأشعث يكنى أبا البختري ’’اه’’. ويأتي سعيد.</w:t>
      </w:r>
    </w:p>
    <w:p>
      <w:pPr>
        <w:jc w:val="start"/>
        <w:bidi/>
      </w:pPr>
      <w:r>
        <w:rPr>
          <w:sz w:val="24"/>
          <w:szCs w:val="24"/>
          <w:b w:val="1"/>
          <w:bCs w:val="1"/>
          <w:rtl/>
        </w:rPr>
        <w:t xml:space="preserve">
أعيان الشيعة،(دار التعارف للمطبوعات - بيروت،1983،ط 1،ج 7،ص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2026-07-27T12:42:09+03:00</dcterms:created>
  <dcterms:modified xsi:type="dcterms:W3CDTF">2026-07-27T12:42:09+03:00</dcterms:modified>
</cp:coreProperties>
</file>

<file path=docProps/custom.xml><?xml version="1.0" encoding="utf-8"?>
<Properties xmlns="http://schemas.openxmlformats.org/officeDocument/2006/custom-properties" xmlns:vt="http://schemas.openxmlformats.org/officeDocument/2006/docPropsVTypes"/>
</file>