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الشيخ زين الدين أبو بكر التايباذي
</w:t>
      </w:r>
    </w:p>
    <w:p>
      <w:pPr>
        <w:jc w:val="start"/>
        <w:bidi/>
      </w:pPr>
      <w:r>
        <w:rPr>
          <w:rFonts w:ascii="arial" w:hAnsi="arial" w:eastAsia="arial" w:cs="arial"/>
          <w:sz w:val="28"/>
          <w:szCs w:val="28"/>
          <w:b w:val="1"/>
          <w:bCs w:val="1"/>
          <w:rtl/>
        </w:rPr>
        <w:t xml:space="preserve">الشيخ زين الدين أبو بكر التايباذي
</w:t>
      </w:r>
    </w:p>
    <w:p>
      <w:pPr/>
      <w:r>
        <w:rPr/>
        <w:t xml:space="preserve">الشيخ زين الدين أبو بكر التايباذي نسبة إلى تايباذ من قرى جام وآخره المتصل ببلاد الأفغان معروف بمحال باخرز. وفي معجم البلدان تايباذ بعد الألف الثانية باء موحدة وذال معجمة من قرى بوشنخ من أعمال هراة. </w:t>
      </w:r>
    </w:p>
    <w:p/>
    <w:p>
      <w:pPr/>
      <w:r>
        <w:rPr/>
        <w:t xml:space="preserve">وصفه صاحب الرياض بالشيخ العارف الفاضل ثم قال عالم كامل شاعر ماهر إمامي المذهب على ما يظهر من أوائل كتابه مصائب النواصب للقاضي نور الله التستري ’’اه’’ وذكره القاضي المذكور في مجالس المؤمنين ص 23 ومر ذكره في الكني في أبو بكر. </w:t>
      </w:r>
    </w:p>
    <w:p>
      <w:pPr>
        <w:jc w:val="start"/>
        <w:bidi/>
      </w:pPr>
      <w:r>
        <w:rPr>
          <w:sz w:val="24"/>
          <w:szCs w:val="24"/>
          <w:b w:val="1"/>
          <w:bCs w:val="1"/>
          <w:rtl/>
        </w:rPr>
        <w:t xml:space="preserve">
أعيان الشيعة،(دار التعارف للمطبوعات - بيروت،1983،ط 1،ج 7،ص 143)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2026-05-14T00:36:07+03:00</dcterms:created>
  <dcterms:modified xsi:type="dcterms:W3CDTF">2026-05-14T00:36:07+03:00</dcterms:modified>
</cp:coreProperties>
</file>

<file path=docProps/custom.xml><?xml version="1.0" encoding="utf-8"?>
<Properties xmlns="http://schemas.openxmlformats.org/officeDocument/2006/custom-properties" xmlns:vt="http://schemas.openxmlformats.org/officeDocument/2006/docPropsVTypes"/>
</file>