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الملقب بالأسود بن إبراهيم بن محمد
</w:t>
      </w:r>
    </w:p>
    <w:p>
      <w:pPr>
        <w:jc w:val="start"/>
        <w:bidi/>
      </w:pPr>
      <w:r>
        <w:rPr>
          <w:rFonts w:ascii="arial" w:hAnsi="arial" w:eastAsia="arial" w:cs="arial"/>
          <w:sz w:val="28"/>
          <w:szCs w:val="28"/>
          <w:b w:val="1"/>
          <w:bCs w:val="1"/>
          <w:rtl/>
        </w:rPr>
        <w:t xml:space="preserve">زيد الملقب بالأسود بن إبراهيم بن محمد
</w:t>
      </w:r>
    </w:p>
    <w:p>
      <w:pPr/>
      <w:r>
        <w:rPr/>
        <w:t xml:space="preserve">زيد الملقب بالأسود بن إبراهيم بن محمد ابن القاسم الرسي بن إبراهيم طباطبا بن إسماعيل الديباج بن إبراهيم الغمر بن الحسن بن الحسن بن علي بن أبي طالب.</w:t>
      </w:r>
    </w:p>
    <w:p/>
    <w:p>
      <w:pPr/>
      <w:r>
        <w:rPr/>
        <w:t xml:space="preserve">في عمدة الطالب ص 158 استدعاه عضد الدولة بن بويه من بيت المقدس وكان قد انقطع به وزوجه بأخته فلما توفيت زوجه ابنته شاهان دخت وولده عدد كثير بشيراز لهم وجاهة ورياسة منهم نقباء شيراز وقضاتها.</w:t>
      </w:r>
    </w:p>
    <w:p>
      <w:pPr>
        <w:jc w:val="start"/>
        <w:bidi/>
      </w:pPr>
      <w:r>
        <w:rPr>
          <w:sz w:val="24"/>
          <w:szCs w:val="24"/>
          <w:b w:val="1"/>
          <w:bCs w:val="1"/>
          <w:rtl/>
        </w:rPr>
        <w:t xml:space="preserve">
أعيان الشيعة،(دار التعارف للمطبوعات - بيروت،1983،ط 1،ج 7،ص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2026-05-09T14:16:42+03:00</dcterms:created>
  <dcterms:modified xsi:type="dcterms:W3CDTF">2026-05-09T14:16:42+03:00</dcterms:modified>
</cp:coreProperties>
</file>

<file path=docProps/custom.xml><?xml version="1.0" encoding="utf-8"?>
<Properties xmlns="http://schemas.openxmlformats.org/officeDocument/2006/custom-properties" xmlns:vt="http://schemas.openxmlformats.org/officeDocument/2006/docPropsVTypes"/>
</file>