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رومي بن عمران
</w:t>
      </w:r>
    </w:p>
    <w:p>
      <w:pPr>
        <w:jc w:val="start"/>
        <w:bidi/>
      </w:pPr>
      <w:r>
        <w:rPr>
          <w:rFonts w:ascii="arial" w:hAnsi="arial" w:eastAsia="arial" w:cs="arial"/>
          <w:sz w:val="28"/>
          <w:szCs w:val="28"/>
          <w:b w:val="1"/>
          <w:bCs w:val="1"/>
          <w:rtl/>
        </w:rPr>
        <w:t xml:space="preserve">رومي بن عمران
</w:t>
      </w:r>
    </w:p>
    <w:p>
      <w:pPr/>
      <w:r>
        <w:rPr/>
        <w:t xml:space="preserve">رومي بن عمران روى الكليني في الكافي في باب أن صاحب المال أحق بماله مادام حيا عن أحمد بن محمد عن علي بن الحسن عن أخيه أحمد بن الحسن عن عمرو بن سعيد أوصى أخو رومي ابن عمران بجميع ماله لأبي جعفر عليه السلام قال عمرو: فأخبرني رومي أنه وضع الوصية بين يدي أبي جعفر عليه السلام فقال: هذا ما أوصى لك أخي وجعلت أقرأ عليه فيقول لي: قف ويقول: احمل كذا ووهبت لك كذا حتى أتيت على الوصية فنظرت فإذا إنما أخذ الثلث فقلت له: أمرتني أن أحمل إليك الثلث ووهبت لي الثلثين فقال: نعم قلت: أبيعه وأحمله إليك فقال: لا على الميسور عليك ولا تبع شيئا.</w:t>
      </w:r>
    </w:p>
    <w:p>
      <w:pPr>
        <w:jc w:val="start"/>
        <w:bidi/>
      </w:pPr>
      <w:r>
        <w:rPr>
          <w:sz w:val="24"/>
          <w:szCs w:val="24"/>
          <w:b w:val="1"/>
          <w:bCs w:val="1"/>
          <w:rtl/>
        </w:rPr>
        <w:t xml:space="preserve">
أعيان الشيعة،(دار التعارف للمطبوعات - بيروت،1983،ط 1،ج 7،ص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2026-05-03T18:21:41+03:00</dcterms:created>
  <dcterms:modified xsi:type="dcterms:W3CDTF">2026-05-03T18:21:41+03:00</dcterms:modified>
</cp:coreProperties>
</file>

<file path=docProps/custom.xml><?xml version="1.0" encoding="utf-8"?>
<Properties xmlns="http://schemas.openxmlformats.org/officeDocument/2006/custom-properties" xmlns:vt="http://schemas.openxmlformats.org/officeDocument/2006/docPropsVTypes"/>
</file>