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روح الأمين بن شمس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روح الأمين بن شمس الدين محمد
</w:t>
      </w:r>
    </w:p>
    <w:p>
      <w:pPr/>
      <w:r>
        <w:rPr/>
        <w:t xml:space="preserve">السيد روح الأمين بن شمس الدين محمد ابن الأمير السيد رضا الحسيني المختاري </w:t>
      </w:r>
    </w:p>
    <w:p/>
    <w:p>
      <w:pPr/>
      <w:r>
        <w:rPr/>
        <w:t xml:space="preserve">النائيني الأصفهاني</w:t>
      </w:r>
    </w:p>
    <w:p/>
    <w:p>
      <w:pPr/>
      <w:r>
        <w:rPr/>
        <w:t xml:space="preserve">فاضل صالح واعظ له كتاب تأويل الأبيات وفي الرياض الأمير روح الأمين النائيني معاصر واعظ كان من أئمة الجماعة بالمسجد الجامع العباسي بأصبهان وقد توفي في هذه الأعصار.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2026-05-03T18:23:00+03:00</dcterms:created>
  <dcterms:modified xsi:type="dcterms:W3CDTF">2026-05-03T18:23:00+03:00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