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رضي الدين بن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رضي الدين بن نور الدين
</w:t>
      </w:r>
    </w:p>
    <w:p>
      <w:pPr/>
      <w:r>
        <w:rPr/>
        <w:t xml:space="preserve">السيد رضي الدين بن نور الدين ابن السيد نعمة الله الجزائري</w:t>
      </w:r>
    </w:p>
    <w:p/>
    <w:p>
      <w:pPr/>
      <w:r>
        <w:rPr/>
        <w:t xml:space="preserve">توفي سنة 24 جمادى الأولى سنة 1194.</w:t>
      </w:r>
    </w:p>
    <w:p/>
    <w:p>
      <w:pPr/>
      <w:r>
        <w:rPr/>
        <w:t xml:space="preserve">كان من الأفاضل والعلماء الأماثل وكان ينظم الشعر الجيد بالفارسية وتخلصه أقدس سكن الهند وكان يحب الانزواء والعزلة.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2026-05-03T16:01:39+03:00</dcterms:created>
  <dcterms:modified xsi:type="dcterms:W3CDTF">2026-05-03T16:01:39+03:00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